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345" w:rsidRDefault="00572345" w:rsidP="00572345">
      <w:pPr>
        <w:spacing w:line="560" w:lineRule="exact"/>
        <w:jc w:val="left"/>
        <w:rPr>
          <w:rFonts w:ascii="黑体" w:eastAsia="黑体" w:hAnsi="黑体" w:cs="华文中宋"/>
          <w:b/>
          <w:bCs/>
          <w:kern w:val="0"/>
          <w:sz w:val="32"/>
          <w:szCs w:val="32"/>
        </w:rPr>
      </w:pPr>
      <w:r>
        <w:rPr>
          <w:rFonts w:ascii="黑体" w:eastAsia="黑体" w:hAnsi="黑体" w:cs="微软雅黑" w:hint="eastAsia"/>
          <w:b/>
          <w:bCs/>
          <w:sz w:val="32"/>
          <w:szCs w:val="32"/>
        </w:rPr>
        <w:t>编号：4</w:t>
      </w:r>
      <w:r>
        <w:rPr>
          <w:rFonts w:ascii="黑体" w:eastAsia="黑体" w:hAnsi="黑体" w:cs="微软雅黑"/>
          <w:b/>
          <w:bCs/>
          <w:sz w:val="32"/>
          <w:szCs w:val="32"/>
        </w:rPr>
        <w:t>6</w:t>
      </w:r>
      <w:bookmarkStart w:id="0" w:name="_GoBack"/>
      <w:bookmarkEnd w:id="0"/>
    </w:p>
    <w:p w:rsidR="00FC79FD" w:rsidRDefault="00FC79FD" w:rsidP="00FA6F06">
      <w:pPr>
        <w:ind w:firstLine="560"/>
      </w:pPr>
    </w:p>
    <w:p w:rsidR="00FC79FD" w:rsidRDefault="00FC79FD" w:rsidP="00FC79FD">
      <w:pPr>
        <w:ind w:firstLine="560"/>
        <w:jc w:val="center"/>
      </w:pPr>
    </w:p>
    <w:p w:rsidR="00C26789" w:rsidRDefault="00C26789" w:rsidP="00C26789">
      <w:pPr>
        <w:spacing w:before="120" w:afterLines="150" w:line="560" w:lineRule="exact"/>
        <w:jc w:val="center"/>
        <w:rPr>
          <w:rFonts w:ascii="华文中宋" w:eastAsia="华文中宋" w:hAnsi="华文中宋"/>
          <w:sz w:val="44"/>
          <w:szCs w:val="44"/>
        </w:rPr>
      </w:pPr>
      <w:r>
        <w:rPr>
          <w:rFonts w:ascii="华文中宋" w:eastAsia="华文中宋" w:hAnsi="华文中宋"/>
          <w:sz w:val="44"/>
          <w:szCs w:val="44"/>
        </w:rPr>
        <w:t>20</w:t>
      </w:r>
      <w:r>
        <w:rPr>
          <w:rFonts w:ascii="华文中宋" w:eastAsia="华文中宋" w:hAnsi="华文中宋" w:hint="eastAsia"/>
          <w:sz w:val="44"/>
          <w:szCs w:val="44"/>
        </w:rPr>
        <w:t>万头生猪规模化养殖场新建项目</w:t>
      </w:r>
    </w:p>
    <w:p w:rsidR="00C26789" w:rsidRDefault="00C26789" w:rsidP="00C26789">
      <w:pPr>
        <w:pStyle w:val="a6"/>
        <w:numPr>
          <w:ilvl w:val="0"/>
          <w:numId w:val="2"/>
        </w:numPr>
        <w:spacing w:line="500" w:lineRule="exact"/>
        <w:ind w:firstLineChars="0"/>
        <w:outlineLvl w:val="0"/>
        <w:rPr>
          <w:rFonts w:ascii="黑体" w:eastAsia="黑体" w:cs="宋体"/>
          <w:sz w:val="32"/>
          <w:szCs w:val="32"/>
        </w:rPr>
      </w:pPr>
      <w:r>
        <w:rPr>
          <w:rFonts w:ascii="黑体" w:eastAsia="黑体" w:hAnsi="宋体" w:cs="宋体" w:hint="eastAsia"/>
          <w:sz w:val="32"/>
          <w:szCs w:val="32"/>
        </w:rPr>
        <w:t>项目内容和规模</w:t>
      </w:r>
    </w:p>
    <w:p w:rsidR="00C26789" w:rsidRDefault="00C26789" w:rsidP="00C26789">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新建</w:t>
      </w:r>
      <w:r>
        <w:rPr>
          <w:rFonts w:ascii="仿宋_GB2312" w:eastAsia="仿宋_GB2312"/>
          <w:kern w:val="0"/>
          <w:sz w:val="32"/>
          <w:szCs w:val="32"/>
        </w:rPr>
        <w:t>5000</w:t>
      </w:r>
      <w:r>
        <w:rPr>
          <w:rFonts w:ascii="仿宋_GB2312" w:eastAsia="仿宋_GB2312" w:hint="eastAsia"/>
          <w:kern w:val="0"/>
          <w:sz w:val="32"/>
          <w:szCs w:val="32"/>
        </w:rPr>
        <w:t>头基础母猪，</w:t>
      </w:r>
      <w:r>
        <w:rPr>
          <w:rFonts w:ascii="仿宋_GB2312" w:eastAsia="仿宋_GB2312"/>
          <w:kern w:val="0"/>
          <w:sz w:val="32"/>
          <w:szCs w:val="32"/>
        </w:rPr>
        <w:t>10</w:t>
      </w:r>
      <w:r>
        <w:rPr>
          <w:rFonts w:ascii="仿宋_GB2312" w:eastAsia="仿宋_GB2312" w:hint="eastAsia"/>
          <w:kern w:val="0"/>
          <w:sz w:val="32"/>
          <w:szCs w:val="32"/>
        </w:rPr>
        <w:t>万头仔猪规模繁育场二处，</w:t>
      </w:r>
      <w:r>
        <w:rPr>
          <w:rFonts w:ascii="仿宋_GB2312" w:eastAsia="仿宋_GB2312"/>
          <w:kern w:val="0"/>
          <w:sz w:val="32"/>
          <w:szCs w:val="32"/>
        </w:rPr>
        <w:t>10</w:t>
      </w:r>
      <w:r>
        <w:rPr>
          <w:rFonts w:ascii="仿宋_GB2312" w:eastAsia="仿宋_GB2312" w:hint="eastAsia"/>
          <w:kern w:val="0"/>
          <w:sz w:val="32"/>
          <w:szCs w:val="32"/>
        </w:rPr>
        <w:t>万头规模育肥场二处，新建生猪养殖猪舍、饲料加工车间、饲料库、办公及后勤区、堆肥发酵场、污水处理池、场区道路等设施</w:t>
      </w:r>
      <w:r>
        <w:rPr>
          <w:rFonts w:ascii="仿宋_GB2312" w:eastAsia="仿宋_GB2312"/>
          <w:kern w:val="0"/>
          <w:sz w:val="32"/>
          <w:szCs w:val="32"/>
        </w:rPr>
        <w:t>18</w:t>
      </w:r>
      <w:r>
        <w:rPr>
          <w:rFonts w:ascii="仿宋_GB2312" w:eastAsia="仿宋_GB2312" w:hint="eastAsia"/>
          <w:kern w:val="0"/>
          <w:sz w:val="32"/>
          <w:szCs w:val="32"/>
        </w:rPr>
        <w:t>万平方米，建设电力、给水、道路等配套设施；购置生猪养殖配套设备包括全自动供料、供水、智能通风换气系统，猪舍加热降温系统等设备</w:t>
      </w:r>
      <w:r>
        <w:rPr>
          <w:rFonts w:ascii="仿宋_GB2312" w:eastAsia="仿宋_GB2312"/>
          <w:kern w:val="0"/>
          <w:sz w:val="32"/>
          <w:szCs w:val="32"/>
        </w:rPr>
        <w:t>18000</w:t>
      </w:r>
      <w:r>
        <w:rPr>
          <w:rFonts w:ascii="仿宋_GB2312" w:eastAsia="仿宋_GB2312" w:hint="eastAsia"/>
          <w:kern w:val="0"/>
          <w:sz w:val="32"/>
          <w:szCs w:val="32"/>
        </w:rPr>
        <w:t>台套；引进种猪</w:t>
      </w:r>
      <w:r>
        <w:rPr>
          <w:rFonts w:ascii="仿宋_GB2312" w:eastAsia="仿宋_GB2312"/>
          <w:kern w:val="0"/>
          <w:sz w:val="32"/>
          <w:szCs w:val="32"/>
        </w:rPr>
        <w:t>4000</w:t>
      </w:r>
      <w:r>
        <w:rPr>
          <w:rFonts w:ascii="仿宋_GB2312" w:eastAsia="仿宋_GB2312" w:hint="eastAsia"/>
          <w:kern w:val="0"/>
          <w:sz w:val="32"/>
          <w:szCs w:val="32"/>
        </w:rPr>
        <w:t>头。建设期</w:t>
      </w:r>
      <w:r>
        <w:rPr>
          <w:rFonts w:ascii="仿宋_GB2312" w:eastAsia="仿宋_GB2312"/>
          <w:kern w:val="0"/>
          <w:sz w:val="32"/>
          <w:szCs w:val="32"/>
        </w:rPr>
        <w:t>2</w:t>
      </w:r>
      <w:r>
        <w:rPr>
          <w:rFonts w:ascii="仿宋_GB2312" w:eastAsia="仿宋_GB2312" w:hint="eastAsia"/>
          <w:kern w:val="0"/>
          <w:sz w:val="32"/>
          <w:szCs w:val="32"/>
        </w:rPr>
        <w:t>年（</w:t>
      </w:r>
      <w:r>
        <w:rPr>
          <w:rFonts w:ascii="仿宋_GB2312" w:eastAsia="仿宋_GB2312"/>
          <w:kern w:val="0"/>
          <w:sz w:val="32"/>
          <w:szCs w:val="32"/>
        </w:rPr>
        <w:t>2020-2022</w:t>
      </w:r>
      <w:r>
        <w:rPr>
          <w:rFonts w:ascii="仿宋_GB2312" w:eastAsia="仿宋_GB2312" w:hint="eastAsia"/>
          <w:kern w:val="0"/>
          <w:sz w:val="32"/>
          <w:szCs w:val="32"/>
        </w:rPr>
        <w:t>），</w:t>
      </w:r>
      <w:r>
        <w:rPr>
          <w:rFonts w:ascii="仿宋_GB2312" w:eastAsia="仿宋_GB2312" w:hAnsi="宋体" w:cs="宋体" w:hint="eastAsia"/>
          <w:sz w:val="32"/>
          <w:szCs w:val="32"/>
        </w:rPr>
        <w:t>项目总占地</w:t>
      </w:r>
      <w:r>
        <w:rPr>
          <w:rFonts w:ascii="仿宋_GB2312" w:eastAsia="仿宋_GB2312" w:hAnsi="宋体" w:cs="宋体"/>
          <w:sz w:val="32"/>
          <w:szCs w:val="32"/>
        </w:rPr>
        <w:t>1000</w:t>
      </w:r>
      <w:r>
        <w:rPr>
          <w:rFonts w:ascii="仿宋_GB2312" w:eastAsia="仿宋_GB2312" w:hAnsi="宋体" w:cs="宋体" w:hint="eastAsia"/>
          <w:sz w:val="32"/>
          <w:szCs w:val="32"/>
        </w:rPr>
        <w:t>亩，共建设四个猪场，每个猪场占地</w:t>
      </w:r>
      <w:r>
        <w:rPr>
          <w:rFonts w:ascii="仿宋_GB2312" w:eastAsia="仿宋_GB2312" w:hAnsi="宋体" w:cs="宋体"/>
          <w:sz w:val="32"/>
          <w:szCs w:val="32"/>
        </w:rPr>
        <w:t>250</w:t>
      </w:r>
      <w:r>
        <w:rPr>
          <w:rFonts w:ascii="仿宋_GB2312" w:eastAsia="仿宋_GB2312" w:hAnsi="宋体" w:cs="宋体" w:hint="eastAsia"/>
          <w:sz w:val="32"/>
          <w:szCs w:val="32"/>
        </w:rPr>
        <w:t>亩。</w:t>
      </w:r>
      <w:r>
        <w:rPr>
          <w:rFonts w:ascii="仿宋_GB2312" w:eastAsia="仿宋_GB2312" w:hAnsi="宋体" w:hint="eastAsia"/>
          <w:kern w:val="0"/>
          <w:sz w:val="32"/>
          <w:szCs w:val="32"/>
        </w:rPr>
        <w:t>生猪养殖配套设备采用国内先进的全自动供料、供水、智能通风换气系统，猪舍加热降温系统等设备。</w:t>
      </w:r>
    </w:p>
    <w:p w:rsidR="00C26789" w:rsidRDefault="00C26789" w:rsidP="00C26789">
      <w:pPr>
        <w:spacing w:line="560" w:lineRule="exact"/>
        <w:ind w:firstLineChars="200" w:firstLine="640"/>
        <w:rPr>
          <w:rFonts w:ascii="黑体" w:eastAsia="黑体" w:cs="宋体"/>
          <w:sz w:val="32"/>
          <w:szCs w:val="32"/>
        </w:rPr>
      </w:pPr>
      <w:r>
        <w:rPr>
          <w:rFonts w:ascii="黑体" w:eastAsia="黑体" w:hAnsi="宋体" w:cs="宋体" w:hint="eastAsia"/>
          <w:sz w:val="32"/>
          <w:szCs w:val="32"/>
        </w:rPr>
        <w:t>二、投资估算及资金来源</w:t>
      </w:r>
    </w:p>
    <w:p w:rsidR="00C26789" w:rsidRDefault="00C26789" w:rsidP="00C26789">
      <w:pPr>
        <w:spacing w:line="560" w:lineRule="exact"/>
        <w:ind w:firstLineChars="200" w:firstLine="640"/>
        <w:rPr>
          <w:rFonts w:ascii="仿宋_GB2312" w:eastAsia="仿宋_GB2312"/>
          <w:kern w:val="0"/>
          <w:sz w:val="32"/>
          <w:szCs w:val="32"/>
        </w:rPr>
      </w:pPr>
      <w:r>
        <w:rPr>
          <w:rFonts w:ascii="仿宋_GB2312" w:eastAsia="仿宋_GB2312" w:hAnsi="宋体" w:hint="eastAsia"/>
          <w:kern w:val="0"/>
          <w:sz w:val="32"/>
          <w:szCs w:val="32"/>
        </w:rPr>
        <w:t>项目总投资</w:t>
      </w:r>
      <w:r>
        <w:rPr>
          <w:rFonts w:ascii="仿宋_GB2312" w:eastAsia="仿宋_GB2312" w:hAnsi="宋体"/>
          <w:kern w:val="0"/>
          <w:sz w:val="32"/>
          <w:szCs w:val="32"/>
        </w:rPr>
        <w:t>23000</w:t>
      </w:r>
      <w:r>
        <w:rPr>
          <w:rFonts w:ascii="仿宋_GB2312" w:eastAsia="仿宋_GB2312" w:hAnsi="宋体" w:hint="eastAsia"/>
          <w:kern w:val="0"/>
          <w:sz w:val="32"/>
          <w:szCs w:val="32"/>
        </w:rPr>
        <w:t>万元，其中项目建设投资</w:t>
      </w:r>
      <w:r>
        <w:rPr>
          <w:rFonts w:ascii="仿宋_GB2312" w:eastAsia="仿宋_GB2312" w:hAnsi="宋体"/>
          <w:kern w:val="0"/>
          <w:sz w:val="32"/>
          <w:szCs w:val="32"/>
        </w:rPr>
        <w:t>15000</w:t>
      </w:r>
      <w:r>
        <w:rPr>
          <w:rFonts w:ascii="仿宋_GB2312" w:eastAsia="仿宋_GB2312" w:hAnsi="宋体" w:hint="eastAsia"/>
          <w:kern w:val="0"/>
          <w:sz w:val="32"/>
          <w:szCs w:val="32"/>
        </w:rPr>
        <w:t>万元，流动资金</w:t>
      </w:r>
      <w:r>
        <w:rPr>
          <w:rFonts w:ascii="仿宋_GB2312" w:eastAsia="仿宋_GB2312" w:hAnsi="宋体"/>
          <w:kern w:val="0"/>
          <w:sz w:val="32"/>
          <w:szCs w:val="32"/>
        </w:rPr>
        <w:t>8000</w:t>
      </w:r>
      <w:r>
        <w:rPr>
          <w:rFonts w:ascii="仿宋_GB2312" w:eastAsia="仿宋_GB2312" w:hAnsi="宋体" w:hint="eastAsia"/>
          <w:kern w:val="0"/>
          <w:sz w:val="32"/>
          <w:szCs w:val="32"/>
        </w:rPr>
        <w:t>万元（共建四个猪场，每个</w:t>
      </w:r>
      <w:r>
        <w:rPr>
          <w:rFonts w:ascii="仿宋_GB2312" w:eastAsia="仿宋_GB2312" w:hAnsi="宋体"/>
          <w:kern w:val="0"/>
          <w:sz w:val="32"/>
          <w:szCs w:val="32"/>
        </w:rPr>
        <w:t>2000</w:t>
      </w:r>
      <w:r>
        <w:rPr>
          <w:rFonts w:ascii="仿宋_GB2312" w:eastAsia="仿宋_GB2312" w:hAnsi="宋体" w:hint="eastAsia"/>
          <w:kern w:val="0"/>
          <w:sz w:val="32"/>
          <w:szCs w:val="32"/>
        </w:rPr>
        <w:t>万元），企业自筹</w:t>
      </w:r>
      <w:r>
        <w:rPr>
          <w:rFonts w:ascii="仿宋_GB2312" w:eastAsia="仿宋_GB2312" w:hAnsi="宋体"/>
          <w:kern w:val="0"/>
          <w:sz w:val="32"/>
          <w:szCs w:val="32"/>
        </w:rPr>
        <w:t>3000</w:t>
      </w:r>
      <w:r>
        <w:rPr>
          <w:rFonts w:ascii="仿宋_GB2312" w:eastAsia="仿宋_GB2312" w:hAnsi="宋体" w:hint="eastAsia"/>
          <w:kern w:val="0"/>
          <w:sz w:val="32"/>
          <w:szCs w:val="32"/>
        </w:rPr>
        <w:t>万元，需融资</w:t>
      </w:r>
      <w:r>
        <w:rPr>
          <w:rFonts w:ascii="仿宋_GB2312" w:eastAsia="仿宋_GB2312" w:hAnsi="宋体"/>
          <w:kern w:val="0"/>
          <w:sz w:val="32"/>
          <w:szCs w:val="32"/>
        </w:rPr>
        <w:t>20000</w:t>
      </w:r>
      <w:r>
        <w:rPr>
          <w:rFonts w:ascii="仿宋_GB2312" w:eastAsia="仿宋_GB2312" w:hAnsi="宋体" w:hint="eastAsia"/>
          <w:kern w:val="0"/>
          <w:sz w:val="32"/>
          <w:szCs w:val="32"/>
        </w:rPr>
        <w:t>万元。</w:t>
      </w:r>
    </w:p>
    <w:p w:rsidR="00C26789" w:rsidRDefault="00C26789" w:rsidP="00C26789">
      <w:pPr>
        <w:spacing w:line="560" w:lineRule="exact"/>
        <w:ind w:firstLineChars="200" w:firstLine="640"/>
        <w:rPr>
          <w:rFonts w:ascii="黑体" w:eastAsia="黑体" w:hAnsi="宋体"/>
          <w:kern w:val="0"/>
          <w:sz w:val="32"/>
          <w:szCs w:val="32"/>
        </w:rPr>
      </w:pPr>
      <w:r>
        <w:rPr>
          <w:rFonts w:ascii="黑体" w:eastAsia="黑体" w:hAnsi="宋体" w:hint="eastAsia"/>
          <w:kern w:val="0"/>
          <w:sz w:val="32"/>
          <w:szCs w:val="32"/>
        </w:rPr>
        <w:t>三、市场分析</w:t>
      </w:r>
    </w:p>
    <w:p w:rsidR="00C26789" w:rsidRDefault="00C26789" w:rsidP="00C26789">
      <w:pPr>
        <w:spacing w:line="560" w:lineRule="exact"/>
        <w:ind w:firstLineChars="200" w:firstLine="640"/>
        <w:outlineLvl w:val="0"/>
        <w:rPr>
          <w:rFonts w:ascii="仿宋_GB2312" w:eastAsia="仿宋_GB2312" w:hAnsi="宋体"/>
          <w:kern w:val="0"/>
          <w:sz w:val="32"/>
          <w:szCs w:val="32"/>
        </w:rPr>
      </w:pPr>
      <w:r>
        <w:rPr>
          <w:rFonts w:ascii="仿宋_GB2312" w:eastAsia="仿宋_GB2312" w:hAnsi="宋体" w:hint="eastAsia"/>
          <w:kern w:val="0"/>
          <w:sz w:val="32"/>
          <w:szCs w:val="32"/>
        </w:rPr>
        <w:t>本项目终端产品为育肥商品生猪，肉食已成为普通百姓的主要食品。发展生猪产业是调整优化县域农业和农村经济结构的需要。</w:t>
      </w:r>
      <w:bookmarkStart w:id="1" w:name="_Toc392206993"/>
      <w:r>
        <w:rPr>
          <w:rFonts w:ascii="仿宋_GB2312" w:eastAsia="仿宋_GB2312" w:hint="eastAsia"/>
          <w:kern w:val="0"/>
          <w:sz w:val="32"/>
          <w:szCs w:val="32"/>
        </w:rPr>
        <w:t>目前在丰宁及</w:t>
      </w:r>
      <w:proofErr w:type="gramStart"/>
      <w:r>
        <w:rPr>
          <w:rFonts w:ascii="仿宋_GB2312" w:eastAsia="仿宋_GB2312" w:hint="eastAsia"/>
          <w:kern w:val="0"/>
          <w:sz w:val="32"/>
          <w:szCs w:val="32"/>
        </w:rPr>
        <w:t>周没有</w:t>
      </w:r>
      <w:proofErr w:type="gramEnd"/>
      <w:r>
        <w:rPr>
          <w:rFonts w:ascii="仿宋_GB2312" w:eastAsia="仿宋_GB2312" w:hint="eastAsia"/>
          <w:kern w:val="0"/>
          <w:sz w:val="32"/>
          <w:szCs w:val="32"/>
        </w:rPr>
        <w:t>同类大型生猪养殖企业，生产育肥商品生猪由公司统一回收屠宰加工，市场销售有保</w:t>
      </w:r>
      <w:r>
        <w:rPr>
          <w:rFonts w:ascii="仿宋_GB2312" w:eastAsia="仿宋_GB2312" w:hint="eastAsia"/>
          <w:kern w:val="0"/>
          <w:sz w:val="32"/>
          <w:szCs w:val="32"/>
        </w:rPr>
        <w:lastRenderedPageBreak/>
        <w:t>障。</w:t>
      </w:r>
      <w:bookmarkEnd w:id="1"/>
    </w:p>
    <w:p w:rsidR="00C26789" w:rsidRDefault="00C26789" w:rsidP="00C26789">
      <w:pPr>
        <w:pStyle w:val="a0"/>
        <w:adjustRightInd/>
        <w:spacing w:line="560" w:lineRule="exact"/>
        <w:ind w:left="0" w:firstLine="640"/>
        <w:rPr>
          <w:rFonts w:ascii="黑体" w:eastAsia="黑体" w:hAnsi="宋体"/>
          <w:sz w:val="32"/>
          <w:szCs w:val="32"/>
        </w:rPr>
      </w:pPr>
      <w:r>
        <w:rPr>
          <w:rFonts w:ascii="黑体" w:eastAsia="黑体" w:hAnsi="宋体" w:hint="eastAsia"/>
          <w:sz w:val="32"/>
          <w:szCs w:val="32"/>
        </w:rPr>
        <w:t>四、经济效益分析</w:t>
      </w:r>
    </w:p>
    <w:p w:rsidR="00C26789" w:rsidRDefault="00C26789" w:rsidP="00C26789">
      <w:pPr>
        <w:pStyle w:val="a0"/>
        <w:adjustRightInd/>
        <w:spacing w:line="560" w:lineRule="exact"/>
        <w:ind w:left="0" w:firstLine="640"/>
        <w:rPr>
          <w:rFonts w:ascii="仿宋_GB2312" w:eastAsia="仿宋_GB2312" w:hAnsi="宋体"/>
          <w:sz w:val="32"/>
          <w:szCs w:val="32"/>
        </w:rPr>
      </w:pPr>
      <w:r>
        <w:rPr>
          <w:rFonts w:ascii="仿宋_GB2312" w:eastAsia="仿宋_GB2312" w:hAnsi="宋体" w:hint="eastAsia"/>
          <w:sz w:val="32"/>
          <w:szCs w:val="32"/>
        </w:rPr>
        <w:t>项目建成投产，达到年新增出栏育肥商品猪</w:t>
      </w:r>
      <w:r>
        <w:rPr>
          <w:rFonts w:ascii="仿宋_GB2312" w:eastAsia="仿宋_GB2312" w:hAnsi="宋体"/>
          <w:sz w:val="32"/>
          <w:szCs w:val="32"/>
        </w:rPr>
        <w:t>20</w:t>
      </w:r>
      <w:r>
        <w:rPr>
          <w:rFonts w:ascii="仿宋_GB2312" w:eastAsia="仿宋_GB2312" w:hAnsi="宋体" w:hint="eastAsia"/>
          <w:sz w:val="32"/>
          <w:szCs w:val="32"/>
        </w:rPr>
        <w:t>万头规模，年可新增销售收入</w:t>
      </w:r>
      <w:r>
        <w:rPr>
          <w:rFonts w:ascii="仿宋_GB2312" w:eastAsia="仿宋_GB2312" w:hAnsi="宋体"/>
          <w:sz w:val="32"/>
          <w:szCs w:val="32"/>
        </w:rPr>
        <w:t>4.8</w:t>
      </w:r>
      <w:r>
        <w:rPr>
          <w:rFonts w:ascii="仿宋_GB2312" w:eastAsia="仿宋_GB2312" w:hAnsi="宋体" w:hint="eastAsia"/>
          <w:sz w:val="32"/>
          <w:szCs w:val="32"/>
        </w:rPr>
        <w:t>亿元，新增效益</w:t>
      </w:r>
      <w:r>
        <w:rPr>
          <w:rFonts w:ascii="仿宋_GB2312" w:eastAsia="仿宋_GB2312" w:hAnsi="宋体"/>
          <w:sz w:val="32"/>
          <w:szCs w:val="32"/>
        </w:rPr>
        <w:t>2</w:t>
      </w:r>
      <w:r>
        <w:rPr>
          <w:rFonts w:ascii="仿宋_GB2312" w:eastAsia="仿宋_GB2312" w:hAnsi="宋体" w:hint="eastAsia"/>
          <w:sz w:val="32"/>
          <w:szCs w:val="32"/>
        </w:rPr>
        <w:t>亿元，收益率</w:t>
      </w:r>
      <w:r>
        <w:rPr>
          <w:rFonts w:ascii="仿宋_GB2312" w:eastAsia="仿宋_GB2312" w:hAnsi="宋体"/>
          <w:sz w:val="32"/>
          <w:szCs w:val="32"/>
        </w:rPr>
        <w:t>40%</w:t>
      </w:r>
      <w:r>
        <w:rPr>
          <w:rFonts w:ascii="仿宋_GB2312" w:eastAsia="仿宋_GB2312" w:hAnsi="宋体" w:hint="eastAsia"/>
          <w:sz w:val="32"/>
          <w:szCs w:val="32"/>
        </w:rPr>
        <w:t>以上，利润率</w:t>
      </w:r>
      <w:r>
        <w:rPr>
          <w:rFonts w:ascii="仿宋_GB2312" w:eastAsia="仿宋_GB2312" w:hAnsi="宋体"/>
          <w:sz w:val="32"/>
          <w:szCs w:val="32"/>
        </w:rPr>
        <w:t>60%</w:t>
      </w:r>
      <w:r>
        <w:rPr>
          <w:rFonts w:ascii="仿宋_GB2312" w:eastAsia="仿宋_GB2312" w:hAnsi="宋体" w:hint="eastAsia"/>
          <w:sz w:val="32"/>
          <w:szCs w:val="32"/>
        </w:rPr>
        <w:t>以上，税后投资回收期</w:t>
      </w:r>
      <w:r>
        <w:rPr>
          <w:rFonts w:ascii="仿宋_GB2312" w:eastAsia="仿宋_GB2312" w:hAnsi="宋体"/>
          <w:sz w:val="32"/>
          <w:szCs w:val="32"/>
        </w:rPr>
        <w:t>2</w:t>
      </w:r>
      <w:r>
        <w:rPr>
          <w:rFonts w:ascii="仿宋_GB2312" w:eastAsia="仿宋_GB2312" w:hAnsi="宋体" w:hint="eastAsia"/>
          <w:sz w:val="32"/>
          <w:szCs w:val="32"/>
        </w:rPr>
        <w:t>年。</w:t>
      </w:r>
    </w:p>
    <w:p w:rsidR="00C26789" w:rsidRDefault="00C26789" w:rsidP="00C26789">
      <w:pPr>
        <w:pStyle w:val="a0"/>
        <w:adjustRightInd/>
        <w:spacing w:line="560" w:lineRule="exact"/>
        <w:ind w:left="0" w:firstLine="640"/>
        <w:rPr>
          <w:rFonts w:ascii="黑体" w:eastAsia="黑体" w:hAnsi="宋体"/>
          <w:sz w:val="32"/>
          <w:szCs w:val="32"/>
        </w:rPr>
      </w:pPr>
      <w:r>
        <w:rPr>
          <w:rFonts w:ascii="黑体" w:eastAsia="黑体" w:hAnsi="宋体" w:hint="eastAsia"/>
          <w:sz w:val="32"/>
          <w:szCs w:val="32"/>
        </w:rPr>
        <w:t>五、项目建设条件</w:t>
      </w:r>
    </w:p>
    <w:p w:rsidR="00C26789" w:rsidRDefault="00C26789" w:rsidP="00C26789">
      <w:pPr>
        <w:spacing w:line="560" w:lineRule="exact"/>
        <w:ind w:firstLineChars="200" w:firstLine="640"/>
        <w:rPr>
          <w:rFonts w:ascii="仿宋_GB2312" w:eastAsia="仿宋_GB2312" w:hAnsi="宋体"/>
          <w:kern w:val="0"/>
          <w:sz w:val="32"/>
          <w:szCs w:val="32"/>
        </w:rPr>
      </w:pPr>
      <w:r>
        <w:rPr>
          <w:rFonts w:ascii="仿宋_GB2312" w:eastAsia="仿宋_GB2312" w:hint="eastAsia"/>
          <w:sz w:val="32"/>
          <w:szCs w:val="32"/>
        </w:rPr>
        <w:t>项目场址位于丰宁县域内，交通便利，有利于猪产品的流通。</w:t>
      </w:r>
      <w:r>
        <w:rPr>
          <w:rFonts w:ascii="仿宋_GB2312" w:eastAsia="仿宋_GB2312" w:hint="eastAsia"/>
          <w:kern w:val="0"/>
          <w:sz w:val="32"/>
          <w:szCs w:val="32"/>
        </w:rPr>
        <w:t>场区选为中低山区，适宜养殖及其深加工；</w:t>
      </w:r>
      <w:proofErr w:type="gramStart"/>
      <w:r>
        <w:rPr>
          <w:rFonts w:ascii="仿宋_GB2312" w:eastAsia="仿宋_GB2312" w:hint="eastAsia"/>
          <w:kern w:val="0"/>
          <w:sz w:val="32"/>
          <w:szCs w:val="32"/>
        </w:rPr>
        <w:t>丰宁县可满足</w:t>
      </w:r>
      <w:proofErr w:type="gramEnd"/>
      <w:r>
        <w:rPr>
          <w:rFonts w:ascii="仿宋_GB2312" w:eastAsia="仿宋_GB2312" w:hint="eastAsia"/>
          <w:kern w:val="0"/>
          <w:sz w:val="32"/>
          <w:szCs w:val="32"/>
        </w:rPr>
        <w:t>本项目生猪养殖饲料需求。</w:t>
      </w:r>
    </w:p>
    <w:p w:rsidR="00C26789" w:rsidRDefault="00C26789" w:rsidP="00C26789">
      <w:pPr>
        <w:pStyle w:val="a8"/>
        <w:snapToGrid w:val="0"/>
        <w:spacing w:before="0" w:after="0" w:line="560" w:lineRule="exact"/>
        <w:ind w:firstLine="640"/>
        <w:jc w:val="both"/>
        <w:rPr>
          <w:rFonts w:ascii="仿宋_GB2312" w:eastAsia="仿宋_GB2312" w:hAnsi="宋体"/>
          <w:sz w:val="32"/>
          <w:szCs w:val="32"/>
        </w:rPr>
      </w:pPr>
      <w:r>
        <w:rPr>
          <w:rFonts w:ascii="仿宋_GB2312" w:eastAsia="仿宋_GB2312" w:hAnsi="宋体" w:hint="eastAsia"/>
          <w:sz w:val="32"/>
          <w:szCs w:val="32"/>
        </w:rPr>
        <w:t>项目自行配备机井</w:t>
      </w:r>
      <w:r>
        <w:rPr>
          <w:rFonts w:ascii="仿宋_GB2312" w:eastAsia="仿宋_GB2312" w:hAnsi="宋体"/>
          <w:sz w:val="32"/>
          <w:szCs w:val="32"/>
        </w:rPr>
        <w:t>4</w:t>
      </w:r>
      <w:r>
        <w:rPr>
          <w:rFonts w:ascii="仿宋_GB2312" w:eastAsia="仿宋_GB2312" w:hAnsi="宋体" w:hint="eastAsia"/>
          <w:sz w:val="32"/>
          <w:szCs w:val="32"/>
        </w:rPr>
        <w:t>眼（每个新建猪场</w:t>
      </w:r>
      <w:r>
        <w:rPr>
          <w:rFonts w:ascii="仿宋_GB2312" w:eastAsia="仿宋_GB2312" w:hAnsi="宋体"/>
          <w:sz w:val="32"/>
          <w:szCs w:val="32"/>
        </w:rPr>
        <w:t>1</w:t>
      </w:r>
      <w:r>
        <w:rPr>
          <w:rFonts w:ascii="仿宋_GB2312" w:eastAsia="仿宋_GB2312" w:hAnsi="宋体" w:hint="eastAsia"/>
          <w:sz w:val="32"/>
          <w:szCs w:val="32"/>
        </w:rPr>
        <w:t>眼），用水需求可满足；场区用电引自项目建设地附件高压配电线路，项目建设配套配电设备、每个猪场配备</w:t>
      </w:r>
      <w:r>
        <w:rPr>
          <w:rFonts w:ascii="仿宋_GB2312" w:eastAsia="仿宋_GB2312" w:hAnsi="宋体"/>
          <w:sz w:val="32"/>
          <w:szCs w:val="32"/>
        </w:rPr>
        <w:t>5</w:t>
      </w:r>
      <w:r>
        <w:rPr>
          <w:rFonts w:ascii="仿宋_GB2312" w:eastAsia="仿宋_GB2312" w:hAnsi="宋体" w:hint="eastAsia"/>
          <w:sz w:val="32"/>
          <w:szCs w:val="32"/>
        </w:rPr>
        <w:t>吨锅炉</w:t>
      </w:r>
      <w:r>
        <w:rPr>
          <w:rFonts w:ascii="仿宋_GB2312" w:eastAsia="仿宋_GB2312" w:hAnsi="宋体"/>
          <w:sz w:val="32"/>
          <w:szCs w:val="32"/>
        </w:rPr>
        <w:t>1</w:t>
      </w:r>
      <w:r>
        <w:rPr>
          <w:rFonts w:ascii="仿宋_GB2312" w:eastAsia="仿宋_GB2312" w:hAnsi="宋体" w:hint="eastAsia"/>
          <w:sz w:val="32"/>
          <w:szCs w:val="32"/>
        </w:rPr>
        <w:t>台，可满足项目需要；年耗燃气（煤）从市场购买，市场供应充足。</w:t>
      </w:r>
    </w:p>
    <w:p w:rsidR="00C26789" w:rsidRDefault="00C26789" w:rsidP="00C26789">
      <w:pPr>
        <w:pStyle w:val="a8"/>
        <w:snapToGrid w:val="0"/>
        <w:spacing w:before="0" w:after="0" w:line="560" w:lineRule="exact"/>
        <w:ind w:firstLine="640"/>
        <w:jc w:val="both"/>
        <w:rPr>
          <w:rFonts w:ascii="黑体" w:eastAsia="黑体" w:hAnsi="宋体"/>
          <w:sz w:val="32"/>
          <w:szCs w:val="32"/>
        </w:rPr>
      </w:pPr>
      <w:r>
        <w:rPr>
          <w:rFonts w:ascii="黑体" w:eastAsia="黑体" w:hAnsi="宋体" w:hint="eastAsia"/>
          <w:sz w:val="32"/>
          <w:szCs w:val="32"/>
        </w:rPr>
        <w:t>六、项目单位概况</w:t>
      </w:r>
    </w:p>
    <w:p w:rsidR="00C26789" w:rsidRDefault="00C26789" w:rsidP="00C26789">
      <w:pPr>
        <w:pStyle w:val="a8"/>
        <w:snapToGrid w:val="0"/>
        <w:spacing w:before="0" w:after="0" w:line="560" w:lineRule="exact"/>
        <w:ind w:firstLine="640"/>
        <w:jc w:val="both"/>
        <w:rPr>
          <w:rFonts w:ascii="仿宋_GB2312" w:eastAsia="仿宋_GB2312" w:hAnsi="宋体"/>
          <w:sz w:val="32"/>
          <w:szCs w:val="32"/>
        </w:rPr>
      </w:pPr>
      <w:r>
        <w:rPr>
          <w:rFonts w:ascii="仿宋_GB2312" w:eastAsia="仿宋_GB2312" w:hAnsi="宋体" w:hint="eastAsia"/>
          <w:sz w:val="32"/>
          <w:szCs w:val="32"/>
        </w:rPr>
        <w:t>丰宁满族自治县丰鑫实业有限公司（有限责任公司），成立于2006年，位于丰宁县土城镇，公司占地面积324亩，总建筑面积5.7万平方米；注册资金5000万元，公司不设董事会，股东会为公司最高权力机构。现有员工269人。</w:t>
      </w:r>
    </w:p>
    <w:p w:rsidR="00C26789" w:rsidRDefault="00C26789" w:rsidP="00C26789">
      <w:pPr>
        <w:pStyle w:val="a8"/>
        <w:snapToGrid w:val="0"/>
        <w:spacing w:before="0" w:after="0" w:line="560" w:lineRule="exact"/>
        <w:ind w:firstLine="640"/>
        <w:jc w:val="both"/>
        <w:rPr>
          <w:rFonts w:ascii="黑体" w:eastAsia="黑体" w:hAnsi="宋体"/>
          <w:sz w:val="32"/>
          <w:szCs w:val="32"/>
        </w:rPr>
      </w:pPr>
      <w:r>
        <w:rPr>
          <w:rFonts w:ascii="黑体" w:eastAsia="黑体" w:hAnsi="宋体" w:hint="eastAsia"/>
          <w:sz w:val="32"/>
          <w:szCs w:val="32"/>
        </w:rPr>
        <w:t>七、合作方式</w:t>
      </w:r>
    </w:p>
    <w:p w:rsidR="00C26789" w:rsidRDefault="00C26789" w:rsidP="00C26789">
      <w:pPr>
        <w:pStyle w:val="a8"/>
        <w:snapToGrid w:val="0"/>
        <w:spacing w:before="0" w:after="0" w:line="560" w:lineRule="exact"/>
        <w:ind w:firstLine="640"/>
        <w:jc w:val="both"/>
        <w:rPr>
          <w:rFonts w:ascii="仿宋_GB2312" w:eastAsia="仿宋_GB2312" w:hAnsi="宋体"/>
          <w:sz w:val="32"/>
          <w:szCs w:val="32"/>
        </w:rPr>
      </w:pPr>
      <w:r>
        <w:rPr>
          <w:rFonts w:ascii="仿宋_GB2312" w:eastAsia="仿宋_GB2312" w:hAnsi="宋体" w:hint="eastAsia"/>
          <w:sz w:val="32"/>
          <w:szCs w:val="32"/>
        </w:rPr>
        <w:t>丰鑫实业有限公司将根据项目进展情况组建独立法人公司，承担该项目实施主体和运营，可整体项目投资合作，也可单独对该项目新建四个规模化养殖场单一规模化养殖场投资合作。</w:t>
      </w:r>
    </w:p>
    <w:p w:rsidR="00C26789" w:rsidRDefault="00C26789" w:rsidP="00C26789">
      <w:pPr>
        <w:pStyle w:val="a8"/>
        <w:snapToGrid w:val="0"/>
        <w:spacing w:before="0" w:after="0" w:line="560" w:lineRule="exact"/>
        <w:ind w:firstLine="640"/>
        <w:jc w:val="both"/>
        <w:rPr>
          <w:rFonts w:ascii="黑体" w:eastAsia="黑体" w:hAnsi="宋体"/>
          <w:sz w:val="32"/>
          <w:szCs w:val="32"/>
        </w:rPr>
      </w:pPr>
      <w:r>
        <w:rPr>
          <w:rFonts w:ascii="黑体" w:eastAsia="黑体" w:hAnsi="宋体" w:hint="eastAsia"/>
          <w:sz w:val="32"/>
          <w:szCs w:val="32"/>
        </w:rPr>
        <w:t>八、联络方式</w:t>
      </w:r>
    </w:p>
    <w:p w:rsidR="00C26789" w:rsidRDefault="00C26789" w:rsidP="00C26789">
      <w:pPr>
        <w:pStyle w:val="a8"/>
        <w:snapToGrid w:val="0"/>
        <w:spacing w:before="0" w:after="0" w:line="560" w:lineRule="exact"/>
        <w:ind w:firstLine="640"/>
        <w:jc w:val="both"/>
        <w:rPr>
          <w:rFonts w:ascii="仿宋_GB2312" w:eastAsia="仿宋_GB2312" w:hAnsi="宋体"/>
          <w:sz w:val="32"/>
          <w:szCs w:val="32"/>
        </w:rPr>
      </w:pPr>
      <w:r>
        <w:rPr>
          <w:rFonts w:ascii="仿宋_GB2312" w:eastAsia="仿宋_GB2312" w:hAnsi="宋体" w:hint="eastAsia"/>
          <w:sz w:val="32"/>
          <w:szCs w:val="32"/>
        </w:rPr>
        <w:lastRenderedPageBreak/>
        <w:t>联系人及职务：董事长武志龙</w:t>
      </w:r>
    </w:p>
    <w:p w:rsidR="00C26789" w:rsidRDefault="00C26789" w:rsidP="00C26789">
      <w:pPr>
        <w:pStyle w:val="a8"/>
        <w:snapToGrid w:val="0"/>
        <w:spacing w:before="0" w:after="0" w:line="560" w:lineRule="exact"/>
        <w:ind w:firstLine="640"/>
        <w:jc w:val="both"/>
        <w:rPr>
          <w:rFonts w:ascii="仿宋_GB2312" w:eastAsia="仿宋_GB2312" w:hAnsi="宋体"/>
          <w:sz w:val="32"/>
          <w:szCs w:val="32"/>
        </w:rPr>
      </w:pPr>
      <w:r>
        <w:rPr>
          <w:rFonts w:ascii="仿宋_GB2312" w:eastAsia="仿宋_GB2312" w:hAnsi="宋体" w:hint="eastAsia"/>
          <w:sz w:val="32"/>
          <w:szCs w:val="32"/>
        </w:rPr>
        <w:t>电话：</w:t>
      </w:r>
      <w:r>
        <w:rPr>
          <w:rFonts w:ascii="仿宋_GB2312" w:eastAsia="仿宋_GB2312" w:hAnsi="宋体"/>
          <w:sz w:val="32"/>
          <w:szCs w:val="32"/>
        </w:rPr>
        <w:t>13785393999</w:t>
      </w:r>
    </w:p>
    <w:p w:rsidR="00C26789" w:rsidRDefault="00C26789" w:rsidP="00C26789">
      <w:pPr>
        <w:pStyle w:val="a8"/>
        <w:snapToGrid w:val="0"/>
        <w:spacing w:before="0" w:after="0" w:line="560" w:lineRule="exact"/>
        <w:ind w:firstLine="640"/>
        <w:jc w:val="both"/>
        <w:rPr>
          <w:rFonts w:ascii="仿宋_GB2312" w:eastAsia="仿宋_GB2312" w:hAnsi="宋体"/>
          <w:sz w:val="32"/>
          <w:szCs w:val="32"/>
        </w:rPr>
      </w:pPr>
      <w:r>
        <w:rPr>
          <w:rFonts w:ascii="仿宋_GB2312" w:eastAsia="仿宋_GB2312" w:hAnsi="宋体" w:hint="eastAsia"/>
          <w:sz w:val="32"/>
          <w:szCs w:val="32"/>
        </w:rPr>
        <w:t>传真：</w:t>
      </w:r>
      <w:r>
        <w:rPr>
          <w:rFonts w:ascii="仿宋_GB2312" w:eastAsia="仿宋_GB2312" w:hAnsi="宋体"/>
          <w:sz w:val="32"/>
          <w:szCs w:val="32"/>
        </w:rPr>
        <w:t>0314</w:t>
      </w:r>
      <w:r>
        <w:rPr>
          <w:rFonts w:ascii="仿宋_GB2312" w:eastAsia="仿宋_GB2312" w:hAnsi="宋体" w:hint="eastAsia"/>
          <w:sz w:val="32"/>
          <w:szCs w:val="32"/>
        </w:rPr>
        <w:t>-</w:t>
      </w:r>
      <w:r>
        <w:rPr>
          <w:rFonts w:ascii="仿宋_GB2312" w:eastAsia="仿宋_GB2312" w:hAnsi="宋体"/>
          <w:sz w:val="32"/>
          <w:szCs w:val="32"/>
        </w:rPr>
        <w:t>8227281</w:t>
      </w:r>
    </w:p>
    <w:p w:rsidR="00C26789" w:rsidRDefault="00C26789" w:rsidP="00C26789">
      <w:pPr>
        <w:pStyle w:val="a8"/>
        <w:snapToGrid w:val="0"/>
        <w:spacing w:before="0" w:after="0" w:line="560" w:lineRule="exact"/>
        <w:ind w:firstLine="640"/>
        <w:jc w:val="both"/>
        <w:rPr>
          <w:rFonts w:ascii="仿宋_GB2312" w:eastAsia="仿宋_GB2312" w:hAnsi="宋体"/>
          <w:sz w:val="32"/>
          <w:szCs w:val="32"/>
        </w:rPr>
      </w:pPr>
      <w:r>
        <w:rPr>
          <w:rFonts w:ascii="仿宋_GB2312" w:eastAsia="仿宋_GB2312" w:hAnsi="宋体" w:hint="eastAsia"/>
          <w:sz w:val="32"/>
          <w:szCs w:val="32"/>
        </w:rPr>
        <w:t>联系单位：丰宁满族自治县丰鑫实业有限公司</w:t>
      </w:r>
    </w:p>
    <w:p w:rsidR="00C26789" w:rsidRDefault="00C26789" w:rsidP="00C26789">
      <w:pPr>
        <w:pStyle w:val="a8"/>
        <w:snapToGrid w:val="0"/>
        <w:spacing w:before="0" w:after="0" w:line="560" w:lineRule="exact"/>
        <w:ind w:firstLine="640"/>
        <w:jc w:val="both"/>
        <w:rPr>
          <w:rFonts w:ascii="仿宋_GB2312" w:eastAsia="仿宋_GB2312" w:hAnsi="宋体"/>
          <w:sz w:val="32"/>
          <w:szCs w:val="32"/>
        </w:rPr>
      </w:pPr>
      <w:r>
        <w:rPr>
          <w:rFonts w:ascii="仿宋_GB2312" w:eastAsia="仿宋_GB2312" w:hAnsi="宋体" w:hint="eastAsia"/>
          <w:sz w:val="32"/>
          <w:szCs w:val="32"/>
        </w:rPr>
        <w:t>通讯地址：河北省承德市丰宁满族自治县土城镇丰鑫实业有限公司</w:t>
      </w:r>
    </w:p>
    <w:p w:rsidR="00C26789" w:rsidRDefault="00C26789" w:rsidP="00C26789">
      <w:pPr>
        <w:pStyle w:val="a8"/>
        <w:snapToGrid w:val="0"/>
        <w:spacing w:before="0" w:after="0" w:line="560" w:lineRule="exact"/>
        <w:ind w:firstLine="640"/>
        <w:jc w:val="both"/>
        <w:rPr>
          <w:rFonts w:ascii="仿宋_GB2312" w:eastAsia="仿宋_GB2312" w:hAnsi="宋体"/>
          <w:sz w:val="32"/>
          <w:szCs w:val="32"/>
        </w:rPr>
      </w:pPr>
      <w:r>
        <w:rPr>
          <w:rFonts w:ascii="仿宋_GB2312" w:eastAsia="仿宋_GB2312" w:hint="eastAsia"/>
          <w:sz w:val="32"/>
          <w:szCs w:val="32"/>
        </w:rPr>
        <w:t>电子邮箱：</w:t>
      </w:r>
      <w:r>
        <w:rPr>
          <w:rFonts w:ascii="仿宋_GB2312" w:eastAsia="仿宋_GB2312"/>
          <w:sz w:val="32"/>
          <w:szCs w:val="32"/>
        </w:rPr>
        <w:t>fengxinshiye@163.com</w:t>
      </w:r>
    </w:p>
    <w:p w:rsidR="00B8756D" w:rsidRPr="00D22DE9" w:rsidRDefault="00B8756D" w:rsidP="00C26789">
      <w:pPr>
        <w:spacing w:before="240"/>
        <w:jc w:val="center"/>
      </w:pPr>
    </w:p>
    <w:sectPr w:rsidR="00B8756D" w:rsidRPr="00D22DE9" w:rsidSect="00EC493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7AA" w:rsidRDefault="001077AA" w:rsidP="009C6A48">
      <w:r>
        <w:separator/>
      </w:r>
    </w:p>
  </w:endnote>
  <w:endnote w:type="continuationSeparator" w:id="1">
    <w:p w:rsidR="001077AA" w:rsidRDefault="001077AA" w:rsidP="009C6A4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Malgun Gothic Semilight"/>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86485"/>
      <w:showingPlcHdr/>
    </w:sdtPr>
    <w:sdtContent>
      <w:p w:rsidR="00EC4936" w:rsidRDefault="00D02B85">
        <w:pPr>
          <w:pStyle w:val="a5"/>
          <w:jc w:val="center"/>
        </w:pPr>
      </w:p>
    </w:sdtContent>
  </w:sdt>
  <w:p w:rsidR="00EC4936" w:rsidRDefault="00C267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7AA" w:rsidRDefault="001077AA" w:rsidP="009C6A48">
      <w:r>
        <w:separator/>
      </w:r>
    </w:p>
  </w:footnote>
  <w:footnote w:type="continuationSeparator" w:id="1">
    <w:p w:rsidR="001077AA" w:rsidRDefault="001077AA" w:rsidP="009C6A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japaneseCounting"/>
      <w:pStyle w:val="1"/>
      <w:suff w:val="nothing"/>
      <w:lvlText w:val="第%1章"/>
      <w:lvlJc w:val="left"/>
      <w:pPr>
        <w:ind w:left="720" w:firstLine="0"/>
      </w:pPr>
      <w:rPr>
        <w:rFonts w:ascii="黑体" w:eastAsia="黑体" w:hAnsi="Times New Roman" w:hint="eastAsia"/>
      </w:rPr>
    </w:lvl>
    <w:lvl w:ilvl="1">
      <w:start w:val="1"/>
      <w:numFmt w:val="none"/>
      <w:pStyle w:val="2"/>
      <w:suff w:val="nothing"/>
      <w:lvlText w:val=""/>
      <w:lvlJc w:val="left"/>
      <w:pPr>
        <w:ind w:left="0" w:firstLine="0"/>
      </w:pPr>
      <w:rPr>
        <w:rFonts w:hint="eastAsia"/>
        <w:i w:val="0"/>
        <w:caps w:val="0"/>
        <w:smallCaps w:val="0"/>
        <w:strike w:val="0"/>
        <w:dstrike w:val="0"/>
        <w:outline w:val="0"/>
        <w:shadow w:val="0"/>
        <w:emboss w:val="0"/>
        <w:imprint w:val="0"/>
        <w:vanish w:val="0"/>
        <w:spacing w:val="0"/>
        <w:kern w:val="0"/>
        <w:position w:val="0"/>
        <w:u w:val="none"/>
        <w:vertAlign w:val="baseline"/>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b/>
        <w:i w:val="0"/>
        <w:sz w:val="28"/>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nsid w:val="0B71271A"/>
    <w:multiLevelType w:val="multilevel"/>
    <w:tmpl w:val="0B71271A"/>
    <w:lvl w:ilvl="0">
      <w:start w:val="3"/>
      <w:numFmt w:val="japaneseCounting"/>
      <w:lvlText w:val="%1、"/>
      <w:lvlJc w:val="left"/>
      <w:pPr>
        <w:ind w:left="1321" w:hanging="720"/>
      </w:pPr>
      <w:rPr>
        <w:rFonts w:hint="default"/>
      </w:rPr>
    </w:lvl>
    <w:lvl w:ilvl="1">
      <w:start w:val="1"/>
      <w:numFmt w:val="lowerLetter"/>
      <w:lvlText w:val="%2)"/>
      <w:lvlJc w:val="left"/>
      <w:pPr>
        <w:ind w:left="1441" w:hanging="420"/>
      </w:pPr>
    </w:lvl>
    <w:lvl w:ilvl="2">
      <w:start w:val="1"/>
      <w:numFmt w:val="lowerRoman"/>
      <w:lvlText w:val="%3."/>
      <w:lvlJc w:val="right"/>
      <w:pPr>
        <w:ind w:left="1861" w:hanging="420"/>
      </w:pPr>
    </w:lvl>
    <w:lvl w:ilvl="3">
      <w:start w:val="1"/>
      <w:numFmt w:val="decimal"/>
      <w:lvlText w:val="%4."/>
      <w:lvlJc w:val="left"/>
      <w:pPr>
        <w:ind w:left="2281" w:hanging="420"/>
      </w:pPr>
    </w:lvl>
    <w:lvl w:ilvl="4">
      <w:start w:val="1"/>
      <w:numFmt w:val="lowerLetter"/>
      <w:lvlText w:val="%5)"/>
      <w:lvlJc w:val="left"/>
      <w:pPr>
        <w:ind w:left="2701" w:hanging="420"/>
      </w:pPr>
    </w:lvl>
    <w:lvl w:ilvl="5">
      <w:start w:val="1"/>
      <w:numFmt w:val="lowerRoman"/>
      <w:lvlText w:val="%6."/>
      <w:lvlJc w:val="right"/>
      <w:pPr>
        <w:ind w:left="3121" w:hanging="420"/>
      </w:pPr>
    </w:lvl>
    <w:lvl w:ilvl="6">
      <w:start w:val="1"/>
      <w:numFmt w:val="decimal"/>
      <w:lvlText w:val="%7."/>
      <w:lvlJc w:val="left"/>
      <w:pPr>
        <w:ind w:left="3541" w:hanging="420"/>
      </w:pPr>
    </w:lvl>
    <w:lvl w:ilvl="7">
      <w:start w:val="1"/>
      <w:numFmt w:val="lowerLetter"/>
      <w:lvlText w:val="%8)"/>
      <w:lvlJc w:val="left"/>
      <w:pPr>
        <w:ind w:left="3961" w:hanging="420"/>
      </w:pPr>
    </w:lvl>
    <w:lvl w:ilvl="8">
      <w:start w:val="1"/>
      <w:numFmt w:val="lowerRoman"/>
      <w:lvlText w:val="%9."/>
      <w:lvlJc w:val="right"/>
      <w:pPr>
        <w:ind w:left="4381" w:hanging="420"/>
      </w:pPr>
    </w:lvl>
  </w:abstractNum>
  <w:abstractNum w:abstractNumId="2">
    <w:nsid w:val="7DE16CE7"/>
    <w:multiLevelType w:val="hybridMultilevel"/>
    <w:tmpl w:val="A60EFFC8"/>
    <w:lvl w:ilvl="0" w:tplc="5DF053E4">
      <w:start w:val="1"/>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6A48"/>
    <w:rsid w:val="000034D0"/>
    <w:rsid w:val="000B6C65"/>
    <w:rsid w:val="001077AA"/>
    <w:rsid w:val="001A23ED"/>
    <w:rsid w:val="001C6E2D"/>
    <w:rsid w:val="0027456A"/>
    <w:rsid w:val="0032295C"/>
    <w:rsid w:val="003B27E0"/>
    <w:rsid w:val="003C2B0A"/>
    <w:rsid w:val="0044640B"/>
    <w:rsid w:val="00465F4A"/>
    <w:rsid w:val="004A4A7E"/>
    <w:rsid w:val="004F6F43"/>
    <w:rsid w:val="00572345"/>
    <w:rsid w:val="00580E71"/>
    <w:rsid w:val="005F3E2D"/>
    <w:rsid w:val="006821B6"/>
    <w:rsid w:val="006830BD"/>
    <w:rsid w:val="006C6B1A"/>
    <w:rsid w:val="007066E1"/>
    <w:rsid w:val="00735A5C"/>
    <w:rsid w:val="00796BCF"/>
    <w:rsid w:val="007C19D9"/>
    <w:rsid w:val="007E7409"/>
    <w:rsid w:val="0095697E"/>
    <w:rsid w:val="009C6A48"/>
    <w:rsid w:val="009D1452"/>
    <w:rsid w:val="009D72EA"/>
    <w:rsid w:val="00A23D4C"/>
    <w:rsid w:val="00A5209D"/>
    <w:rsid w:val="00A6669C"/>
    <w:rsid w:val="00A71C9A"/>
    <w:rsid w:val="00AD5EEA"/>
    <w:rsid w:val="00B12A39"/>
    <w:rsid w:val="00B314BA"/>
    <w:rsid w:val="00B5663F"/>
    <w:rsid w:val="00B8756D"/>
    <w:rsid w:val="00C26789"/>
    <w:rsid w:val="00C85017"/>
    <w:rsid w:val="00D02B85"/>
    <w:rsid w:val="00D10016"/>
    <w:rsid w:val="00D22DE9"/>
    <w:rsid w:val="00D94473"/>
    <w:rsid w:val="00DA68D1"/>
    <w:rsid w:val="00DF38FD"/>
    <w:rsid w:val="00E97129"/>
    <w:rsid w:val="00F62775"/>
    <w:rsid w:val="00F6708B"/>
    <w:rsid w:val="00F76BE4"/>
    <w:rsid w:val="00FA6F06"/>
    <w:rsid w:val="00FB6947"/>
    <w:rsid w:val="00FC79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header" w:uiPriority="0"/>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48"/>
    <w:pPr>
      <w:widowControl w:val="0"/>
      <w:jc w:val="both"/>
    </w:pPr>
    <w:rPr>
      <w:rFonts w:ascii="Calibri" w:eastAsia="宋体" w:hAnsi="Calibri" w:cs="Times New Roman"/>
      <w:szCs w:val="24"/>
    </w:rPr>
  </w:style>
  <w:style w:type="paragraph" w:styleId="1">
    <w:name w:val="heading 1"/>
    <w:basedOn w:val="a"/>
    <w:next w:val="a"/>
    <w:link w:val="1Char"/>
    <w:qFormat/>
    <w:rsid w:val="00DA68D1"/>
    <w:pPr>
      <w:numPr>
        <w:numId w:val="3"/>
      </w:numPr>
      <w:autoSpaceDE w:val="0"/>
      <w:autoSpaceDN w:val="0"/>
      <w:adjustRightInd w:val="0"/>
      <w:spacing w:before="360" w:afterLines="100" w:line="360" w:lineRule="auto"/>
      <w:jc w:val="center"/>
      <w:outlineLvl w:val="0"/>
    </w:pPr>
    <w:rPr>
      <w:rFonts w:ascii="仿宋_GB2312" w:hAnsi="Times New Roman"/>
      <w:b/>
      <w:kern w:val="0"/>
      <w:sz w:val="36"/>
      <w:szCs w:val="20"/>
    </w:rPr>
  </w:style>
  <w:style w:type="paragraph" w:styleId="2">
    <w:name w:val="heading 2"/>
    <w:basedOn w:val="a"/>
    <w:next w:val="a0"/>
    <w:link w:val="2Char"/>
    <w:qFormat/>
    <w:rsid w:val="00DA68D1"/>
    <w:pPr>
      <w:numPr>
        <w:ilvl w:val="1"/>
        <w:numId w:val="3"/>
      </w:numPr>
      <w:autoSpaceDE w:val="0"/>
      <w:autoSpaceDN w:val="0"/>
      <w:adjustRightInd w:val="0"/>
      <w:spacing w:line="360" w:lineRule="auto"/>
      <w:outlineLvl w:val="1"/>
    </w:pPr>
    <w:rPr>
      <w:rFonts w:ascii="仿宋_GB2312" w:hAnsi="Times New Roman"/>
      <w:b/>
      <w:kern w:val="0"/>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9C6A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9C6A48"/>
    <w:rPr>
      <w:sz w:val="18"/>
      <w:szCs w:val="18"/>
    </w:rPr>
  </w:style>
  <w:style w:type="paragraph" w:styleId="a5">
    <w:name w:val="footer"/>
    <w:basedOn w:val="a"/>
    <w:link w:val="Char0"/>
    <w:uiPriority w:val="99"/>
    <w:unhideWhenUsed/>
    <w:qFormat/>
    <w:rsid w:val="009C6A48"/>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9C6A48"/>
    <w:rPr>
      <w:sz w:val="18"/>
      <w:szCs w:val="18"/>
    </w:rPr>
  </w:style>
  <w:style w:type="paragraph" w:styleId="a6">
    <w:name w:val="List Paragraph"/>
    <w:basedOn w:val="a"/>
    <w:uiPriority w:val="99"/>
    <w:qFormat/>
    <w:rsid w:val="009C6A48"/>
    <w:pPr>
      <w:ind w:firstLineChars="200" w:firstLine="420"/>
    </w:pPr>
  </w:style>
  <w:style w:type="paragraph" w:styleId="a7">
    <w:name w:val="Balloon Text"/>
    <w:basedOn w:val="a"/>
    <w:link w:val="Char1"/>
    <w:uiPriority w:val="99"/>
    <w:semiHidden/>
    <w:unhideWhenUsed/>
    <w:rsid w:val="009C6A48"/>
    <w:rPr>
      <w:sz w:val="18"/>
      <w:szCs w:val="18"/>
    </w:rPr>
  </w:style>
  <w:style w:type="character" w:customStyle="1" w:styleId="Char1">
    <w:name w:val="批注框文本 Char"/>
    <w:basedOn w:val="a1"/>
    <w:link w:val="a7"/>
    <w:uiPriority w:val="99"/>
    <w:semiHidden/>
    <w:rsid w:val="009C6A48"/>
    <w:rPr>
      <w:rFonts w:ascii="Calibri" w:eastAsia="宋体" w:hAnsi="Calibri" w:cs="Times New Roman"/>
      <w:sz w:val="18"/>
      <w:szCs w:val="18"/>
    </w:rPr>
  </w:style>
  <w:style w:type="character" w:customStyle="1" w:styleId="1Char">
    <w:name w:val="标题 1 Char"/>
    <w:basedOn w:val="a1"/>
    <w:link w:val="1"/>
    <w:rsid w:val="00DA68D1"/>
    <w:rPr>
      <w:rFonts w:ascii="仿宋_GB2312" w:eastAsia="宋体" w:hAnsi="Times New Roman" w:cs="Times New Roman"/>
      <w:b/>
      <w:kern w:val="0"/>
      <w:sz w:val="36"/>
      <w:szCs w:val="20"/>
    </w:rPr>
  </w:style>
  <w:style w:type="character" w:customStyle="1" w:styleId="2Char">
    <w:name w:val="标题 2 Char"/>
    <w:basedOn w:val="a1"/>
    <w:link w:val="2"/>
    <w:rsid w:val="00DA68D1"/>
    <w:rPr>
      <w:rFonts w:ascii="仿宋_GB2312" w:eastAsia="宋体" w:hAnsi="Times New Roman" w:cs="Times New Roman"/>
      <w:b/>
      <w:kern w:val="0"/>
      <w:sz w:val="28"/>
      <w:szCs w:val="20"/>
    </w:rPr>
  </w:style>
  <w:style w:type="paragraph" w:styleId="a0">
    <w:name w:val="Normal Indent"/>
    <w:basedOn w:val="a"/>
    <w:uiPriority w:val="99"/>
    <w:qFormat/>
    <w:rsid w:val="00DA68D1"/>
    <w:pPr>
      <w:autoSpaceDE w:val="0"/>
      <w:autoSpaceDN w:val="0"/>
      <w:adjustRightInd w:val="0"/>
      <w:spacing w:line="315" w:lineRule="atLeast"/>
      <w:ind w:left="720" w:firstLineChars="200" w:firstLine="567"/>
    </w:pPr>
    <w:rPr>
      <w:rFonts w:ascii="宋体" w:hAnsi="Times New Roman"/>
      <w:kern w:val="0"/>
      <w:sz w:val="28"/>
      <w:szCs w:val="20"/>
    </w:rPr>
  </w:style>
  <w:style w:type="paragraph" w:styleId="a8">
    <w:name w:val="Normal (Web)"/>
    <w:basedOn w:val="a"/>
    <w:uiPriority w:val="99"/>
    <w:qFormat/>
    <w:rsid w:val="00DA68D1"/>
    <w:pPr>
      <w:adjustRightInd w:val="0"/>
      <w:spacing w:before="100" w:after="100" w:line="360" w:lineRule="auto"/>
      <w:ind w:firstLineChars="200" w:firstLine="200"/>
      <w:jc w:val="left"/>
      <w:textAlignment w:val="baseline"/>
    </w:pPr>
    <w:rPr>
      <w:rFonts w:ascii="宋体" w:hAnsi="Times New Roman"/>
      <w:kern w:val="0"/>
      <w:sz w:val="24"/>
      <w:szCs w:val="20"/>
    </w:rPr>
  </w:style>
</w:styles>
</file>

<file path=word/webSettings.xml><?xml version="1.0" encoding="utf-8"?>
<w:webSettings xmlns:r="http://schemas.openxmlformats.org/officeDocument/2006/relationships" xmlns:w="http://schemas.openxmlformats.org/wordprocessingml/2006/main">
  <w:divs>
    <w:div w:id="788820483">
      <w:bodyDiv w:val="1"/>
      <w:marLeft w:val="0"/>
      <w:marRight w:val="0"/>
      <w:marTop w:val="0"/>
      <w:marBottom w:val="0"/>
      <w:divBdr>
        <w:top w:val="none" w:sz="0" w:space="0" w:color="auto"/>
        <w:left w:val="none" w:sz="0" w:space="0" w:color="auto"/>
        <w:bottom w:val="none" w:sz="0" w:space="0" w:color="auto"/>
        <w:right w:val="none" w:sz="0" w:space="0" w:color="auto"/>
      </w:divBdr>
    </w:div>
    <w:div w:id="183287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3</Pages>
  <Words>163</Words>
  <Characters>930</Characters>
  <Application>Microsoft Office Word</Application>
  <DocSecurity>0</DocSecurity>
  <Lines>7</Lines>
  <Paragraphs>2</Paragraphs>
  <ScaleCrop>false</ScaleCrop>
  <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31</cp:revision>
  <dcterms:created xsi:type="dcterms:W3CDTF">2020-04-16T07:03:00Z</dcterms:created>
  <dcterms:modified xsi:type="dcterms:W3CDTF">2020-05-06T08:51:00Z</dcterms:modified>
</cp:coreProperties>
</file>