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768" w:rsidRDefault="00290768" w:rsidP="00290768">
      <w:pPr>
        <w:spacing w:line="560" w:lineRule="exact"/>
        <w:rPr>
          <w:rFonts w:ascii="黑体" w:eastAsia="黑体" w:hAnsi="黑体" w:cs="华文中宋"/>
          <w:b/>
          <w:bCs/>
          <w:sz w:val="32"/>
          <w:szCs w:val="32"/>
        </w:rPr>
      </w:pPr>
      <w:r>
        <w:rPr>
          <w:rFonts w:ascii="黑体" w:eastAsia="黑体" w:hAnsi="黑体" w:cs="微软雅黑" w:hint="eastAsia"/>
          <w:b/>
          <w:bCs/>
          <w:sz w:val="32"/>
          <w:szCs w:val="32"/>
        </w:rPr>
        <w:t>编号：4</w:t>
      </w:r>
      <w:r>
        <w:rPr>
          <w:rFonts w:ascii="黑体" w:eastAsia="黑体" w:hAnsi="黑体" w:cs="微软雅黑"/>
          <w:b/>
          <w:bCs/>
          <w:sz w:val="32"/>
          <w:szCs w:val="32"/>
        </w:rPr>
        <w:t>4</w:t>
      </w:r>
      <w:bookmarkStart w:id="0" w:name="_GoBack"/>
      <w:bookmarkEnd w:id="0"/>
    </w:p>
    <w:p w:rsidR="00290768" w:rsidRDefault="00290768">
      <w:pPr>
        <w:widowControl w:val="0"/>
        <w:adjustRightInd/>
        <w:snapToGrid/>
        <w:spacing w:after="0" w:line="560" w:lineRule="exact"/>
        <w:jc w:val="center"/>
        <w:rPr>
          <w:rFonts w:ascii="华文中宋" w:eastAsia="华文中宋" w:hAnsi="华文中宋" w:cs="华文中宋"/>
          <w:b/>
          <w:bCs/>
          <w:kern w:val="2"/>
          <w:sz w:val="44"/>
          <w:szCs w:val="44"/>
        </w:rPr>
      </w:pPr>
    </w:p>
    <w:p w:rsidR="00163317" w:rsidRDefault="00163317" w:rsidP="00163317">
      <w:pPr>
        <w:widowControl w:val="0"/>
        <w:adjustRightInd/>
        <w:snapToGrid/>
        <w:spacing w:afterLines="150" w:line="560" w:lineRule="exact"/>
        <w:jc w:val="center"/>
        <w:rPr>
          <w:rFonts w:ascii="黑体" w:eastAsia="黑体" w:hAnsi="黑体" w:cs="黑体"/>
          <w:kern w:val="2"/>
          <w:sz w:val="32"/>
          <w:szCs w:val="32"/>
        </w:rPr>
      </w:pPr>
      <w:r>
        <w:rPr>
          <w:rFonts w:ascii="华文中宋" w:eastAsia="华文中宋" w:hAnsi="华文中宋" w:cs="华文中宋" w:hint="eastAsia"/>
          <w:b/>
          <w:bCs/>
          <w:kern w:val="2"/>
          <w:sz w:val="44"/>
          <w:szCs w:val="44"/>
        </w:rPr>
        <w:t>中央厨房建设项目</w:t>
      </w:r>
    </w:p>
    <w:p w:rsidR="00163317" w:rsidRDefault="00163317" w:rsidP="00163317">
      <w:pPr>
        <w:spacing w:after="0"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一、项目内容和规模</w:t>
      </w:r>
    </w:p>
    <w:p w:rsidR="00163317" w:rsidRDefault="00163317" w:rsidP="00163317">
      <w:pPr>
        <w:spacing w:after="0"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本项目总占地面积为</w:t>
      </w:r>
      <w:r>
        <w:rPr>
          <w:rFonts w:ascii="仿宋_GB2312" w:eastAsia="仿宋_GB2312" w:hAnsi="仿宋_GB2312" w:cs="仿宋_GB2312"/>
          <w:sz w:val="32"/>
          <w:szCs w:val="32"/>
        </w:rPr>
        <w:t>30</w:t>
      </w:r>
      <w:r>
        <w:rPr>
          <w:rFonts w:ascii="仿宋_GB2312" w:eastAsia="仿宋_GB2312" w:hAnsi="仿宋_GB2312" w:cs="仿宋_GB2312" w:hint="eastAsia"/>
          <w:sz w:val="32"/>
          <w:szCs w:val="32"/>
        </w:rPr>
        <w:t>亩，总建筑面积为</w:t>
      </w:r>
      <w:r>
        <w:rPr>
          <w:rFonts w:ascii="仿宋_GB2312" w:eastAsia="仿宋_GB2312" w:hAnsi="仿宋_GB2312" w:cs="仿宋_GB2312"/>
          <w:sz w:val="32"/>
          <w:szCs w:val="32"/>
        </w:rPr>
        <w:t>10000</w:t>
      </w:r>
      <w:r>
        <w:rPr>
          <w:rFonts w:ascii="宋体" w:eastAsia="宋体" w:hAnsi="宋体" w:cs="宋体" w:hint="eastAsia"/>
          <w:sz w:val="32"/>
          <w:szCs w:val="32"/>
        </w:rPr>
        <w:t>㎡</w:t>
      </w:r>
      <w:r>
        <w:rPr>
          <w:rFonts w:ascii="仿宋_GB2312" w:eastAsia="仿宋_GB2312" w:hAnsi="仿宋_GB2312" w:cs="仿宋_GB2312" w:hint="eastAsia"/>
          <w:sz w:val="32"/>
          <w:szCs w:val="32"/>
        </w:rPr>
        <w:t>，其中生产车间</w:t>
      </w:r>
      <w:r>
        <w:rPr>
          <w:rFonts w:ascii="仿宋_GB2312" w:eastAsia="仿宋_GB2312" w:hAnsi="仿宋_GB2312" w:cs="仿宋_GB2312"/>
          <w:sz w:val="32"/>
          <w:szCs w:val="32"/>
        </w:rPr>
        <w:t>4000</w:t>
      </w:r>
      <w:r>
        <w:rPr>
          <w:rFonts w:ascii="仿宋_GB2312" w:eastAsia="仿宋_GB2312" w:hAnsi="仿宋_GB2312" w:cs="仿宋_GB2312" w:hint="eastAsia"/>
          <w:sz w:val="32"/>
          <w:szCs w:val="32"/>
        </w:rPr>
        <w:t>㎡，仓储库房</w:t>
      </w:r>
      <w:r>
        <w:rPr>
          <w:rFonts w:ascii="仿宋_GB2312" w:eastAsia="仿宋_GB2312" w:hAnsi="仿宋_GB2312" w:cs="仿宋_GB2312"/>
          <w:sz w:val="32"/>
          <w:szCs w:val="32"/>
        </w:rPr>
        <w:t>3200</w:t>
      </w:r>
      <w:r>
        <w:rPr>
          <w:rFonts w:ascii="仿宋_GB2312" w:eastAsia="仿宋_GB2312" w:hAnsi="仿宋_GB2312" w:cs="仿宋_GB2312" w:hint="eastAsia"/>
          <w:sz w:val="32"/>
          <w:szCs w:val="32"/>
        </w:rPr>
        <w:t>㎡，研发中心</w:t>
      </w:r>
      <w:r>
        <w:rPr>
          <w:rFonts w:ascii="仿宋_GB2312" w:eastAsia="仿宋_GB2312" w:hAnsi="仿宋_GB2312" w:cs="仿宋_GB2312"/>
          <w:sz w:val="32"/>
          <w:szCs w:val="32"/>
        </w:rPr>
        <w:t>1300</w:t>
      </w:r>
      <w:r>
        <w:rPr>
          <w:rFonts w:ascii="仿宋_GB2312" w:eastAsia="仿宋_GB2312" w:hAnsi="仿宋_GB2312" w:cs="仿宋_GB2312" w:hint="eastAsia"/>
          <w:sz w:val="32"/>
          <w:szCs w:val="32"/>
        </w:rPr>
        <w:t>㎡，职工宿舍及食堂</w:t>
      </w:r>
      <w:r>
        <w:rPr>
          <w:rFonts w:ascii="仿宋_GB2312" w:eastAsia="仿宋_GB2312" w:hAnsi="仿宋_GB2312" w:cs="仿宋_GB2312"/>
          <w:sz w:val="32"/>
          <w:szCs w:val="32"/>
        </w:rPr>
        <w:t>1200</w:t>
      </w:r>
      <w:r>
        <w:rPr>
          <w:rFonts w:ascii="仿宋_GB2312" w:eastAsia="仿宋_GB2312" w:hAnsi="仿宋_GB2312" w:cs="仿宋_GB2312" w:hint="eastAsia"/>
          <w:sz w:val="32"/>
          <w:szCs w:val="32"/>
        </w:rPr>
        <w:t>㎡，其他辅助设施</w:t>
      </w:r>
      <w:r>
        <w:rPr>
          <w:rFonts w:ascii="仿宋_GB2312" w:eastAsia="仿宋_GB2312" w:hAnsi="仿宋_GB2312" w:cs="仿宋_GB2312"/>
          <w:sz w:val="32"/>
          <w:szCs w:val="32"/>
        </w:rPr>
        <w:t>300</w:t>
      </w:r>
      <w:r>
        <w:rPr>
          <w:rFonts w:ascii="仿宋_GB2312" w:eastAsia="仿宋_GB2312" w:hAnsi="仿宋_GB2312" w:cs="仿宋_GB2312" w:hint="eastAsia"/>
          <w:sz w:val="32"/>
          <w:szCs w:val="32"/>
        </w:rPr>
        <w:t>㎡；建设道路、停车场及绿化</w:t>
      </w:r>
      <w:r>
        <w:rPr>
          <w:rFonts w:ascii="仿宋_GB2312" w:eastAsia="仿宋_GB2312" w:hAnsi="仿宋_GB2312" w:cs="仿宋_GB2312"/>
          <w:sz w:val="32"/>
          <w:szCs w:val="32"/>
        </w:rPr>
        <w:t>8000</w:t>
      </w:r>
      <w:r>
        <w:rPr>
          <w:rFonts w:ascii="仿宋_GB2312" w:eastAsia="仿宋_GB2312" w:hAnsi="仿宋_GB2312" w:cs="仿宋_GB2312" w:hint="eastAsia"/>
          <w:sz w:val="32"/>
          <w:szCs w:val="32"/>
        </w:rPr>
        <w:t>㎡，项目建设期一年。</w:t>
      </w:r>
    </w:p>
    <w:p w:rsidR="00163317" w:rsidRDefault="00163317" w:rsidP="00163317">
      <w:pPr>
        <w:spacing w:after="0"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二、投资估算及资金来源</w:t>
      </w:r>
    </w:p>
    <w:p w:rsidR="00163317" w:rsidRDefault="00163317" w:rsidP="00163317">
      <w:pPr>
        <w:spacing w:after="0"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项目总投资</w:t>
      </w:r>
      <w:r>
        <w:rPr>
          <w:rFonts w:ascii="仿宋_GB2312" w:eastAsia="仿宋_GB2312" w:hAnsi="仿宋_GB2312" w:cs="仿宋_GB2312"/>
          <w:sz w:val="32"/>
          <w:szCs w:val="32"/>
        </w:rPr>
        <w:t>5000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万元。其中建设投资</w:t>
      </w:r>
      <w:r>
        <w:rPr>
          <w:rFonts w:ascii="仿宋_GB2312" w:eastAsia="仿宋_GB2312" w:hAnsi="仿宋_GB2312" w:cs="仿宋_GB2312"/>
          <w:sz w:val="32"/>
          <w:szCs w:val="32"/>
        </w:rPr>
        <w:t>4000.00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万元（土建工程为</w:t>
      </w:r>
      <w:r>
        <w:rPr>
          <w:rFonts w:ascii="仿宋_GB2312" w:eastAsia="仿宋_GB2312" w:hAnsi="仿宋_GB2312" w:cs="仿宋_GB2312"/>
          <w:sz w:val="32"/>
          <w:szCs w:val="32"/>
        </w:rPr>
        <w:t>1900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万元，设备及安装投资</w:t>
      </w:r>
      <w:r>
        <w:rPr>
          <w:rFonts w:ascii="仿宋_GB2312" w:eastAsia="仿宋_GB2312" w:hAnsi="仿宋_GB2312" w:cs="仿宋_GB2312"/>
          <w:sz w:val="32"/>
          <w:szCs w:val="32"/>
        </w:rPr>
        <w:t>2100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万元，其他费用</w:t>
      </w:r>
      <w:r>
        <w:rPr>
          <w:rFonts w:ascii="仿宋_GB2312" w:eastAsia="仿宋_GB2312" w:hAnsi="仿宋_GB2312" w:cs="仿宋_GB2312"/>
          <w:sz w:val="32"/>
          <w:szCs w:val="32"/>
        </w:rPr>
        <w:t>500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万元），铺底流动资金为</w:t>
      </w:r>
      <w:r>
        <w:rPr>
          <w:rFonts w:ascii="仿宋_GB2312" w:eastAsia="仿宋_GB2312" w:hAnsi="仿宋_GB2312" w:cs="仿宋_GB2312"/>
          <w:sz w:val="32"/>
          <w:szCs w:val="32"/>
        </w:rPr>
        <w:t>500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万元。计划对外融资</w:t>
      </w:r>
      <w:r>
        <w:rPr>
          <w:rFonts w:ascii="仿宋_GB2312" w:eastAsia="仿宋_GB2312" w:hAnsi="仿宋_GB2312" w:cs="仿宋_GB2312"/>
          <w:sz w:val="32"/>
          <w:szCs w:val="32"/>
        </w:rPr>
        <w:t>5000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163317" w:rsidRDefault="00163317" w:rsidP="00163317">
      <w:pPr>
        <w:spacing w:after="0"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三、市场分析</w:t>
      </w:r>
    </w:p>
    <w:p w:rsidR="00163317" w:rsidRDefault="00163317" w:rsidP="00163317">
      <w:pPr>
        <w:spacing w:after="0"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中央厨房集中采购、统一加工、易于质检、统一标准、综合信息处理，因此具备质量、成本和扩张迭代上的优势。该行业正处于快速发展的成长期，上下游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产业链正逐步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完善，产能社会化需求激增。</w:t>
      </w:r>
    </w:p>
    <w:p w:rsidR="00163317" w:rsidRDefault="00163317" w:rsidP="00163317">
      <w:pPr>
        <w:spacing w:after="0"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四、经济效益分析</w:t>
      </w:r>
    </w:p>
    <w:p w:rsidR="00163317" w:rsidRDefault="00163317" w:rsidP="00163317">
      <w:pPr>
        <w:spacing w:after="0"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项目建成后主要生产加工净菜、米饭套餐、面食制品系列产品，年均销售收入为</w:t>
      </w:r>
      <w:r>
        <w:rPr>
          <w:rFonts w:ascii="仿宋_GB2312" w:eastAsia="仿宋_GB2312" w:hAnsi="仿宋_GB2312" w:cs="仿宋_GB2312"/>
          <w:sz w:val="32"/>
          <w:szCs w:val="32"/>
        </w:rPr>
        <w:t>5556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万元，年均利润总额</w:t>
      </w:r>
      <w:r>
        <w:rPr>
          <w:rFonts w:ascii="仿宋_GB2312" w:eastAsia="仿宋_GB2312" w:hAnsi="仿宋_GB2312" w:cs="仿宋_GB2312"/>
          <w:sz w:val="32"/>
          <w:szCs w:val="32"/>
        </w:rPr>
        <w:t>927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万元，年均净利润</w:t>
      </w:r>
      <w:r>
        <w:rPr>
          <w:rFonts w:ascii="仿宋_GB2312" w:eastAsia="仿宋_GB2312" w:hAnsi="仿宋_GB2312" w:cs="仿宋_GB2312"/>
          <w:sz w:val="32"/>
          <w:szCs w:val="32"/>
        </w:rPr>
        <w:t>695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万元，年上缴税金及附加为</w:t>
      </w:r>
      <w:r>
        <w:rPr>
          <w:rFonts w:ascii="仿宋_GB2312" w:eastAsia="仿宋_GB2312" w:hAnsi="仿宋_GB2312" w:cs="仿宋_GB2312"/>
          <w:sz w:val="32"/>
          <w:szCs w:val="32"/>
        </w:rPr>
        <w:t>32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万元，年增值税为</w:t>
      </w:r>
      <w:r>
        <w:rPr>
          <w:rFonts w:ascii="仿宋_GB2312" w:eastAsia="仿宋_GB2312" w:hAnsi="仿宋_GB2312" w:cs="仿宋_GB2312"/>
          <w:sz w:val="32"/>
          <w:szCs w:val="32"/>
        </w:rPr>
        <w:t>328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万元；投资利润率为</w:t>
      </w:r>
      <w:r>
        <w:rPr>
          <w:rFonts w:ascii="仿宋_GB2312" w:eastAsia="仿宋_GB2312" w:hAnsi="仿宋_GB2312" w:cs="仿宋_GB2312"/>
          <w:sz w:val="32"/>
          <w:szCs w:val="32"/>
        </w:rPr>
        <w:t>18.54%</w:t>
      </w:r>
      <w:r>
        <w:rPr>
          <w:rFonts w:ascii="仿宋_GB2312" w:eastAsia="仿宋_GB2312" w:hAnsi="仿宋_GB2312" w:cs="仿宋_GB2312" w:hint="eastAsia"/>
          <w:sz w:val="32"/>
          <w:szCs w:val="32"/>
        </w:rPr>
        <w:t>，投资利税率</w:t>
      </w:r>
      <w:r>
        <w:rPr>
          <w:rFonts w:ascii="仿宋_GB2312" w:eastAsia="仿宋_GB2312" w:hAnsi="仿宋_GB2312" w:cs="仿宋_GB2312"/>
          <w:sz w:val="32"/>
          <w:szCs w:val="32"/>
        </w:rPr>
        <w:lastRenderedPageBreak/>
        <w:t>25.74%</w:t>
      </w:r>
      <w:r>
        <w:rPr>
          <w:rFonts w:ascii="仿宋_GB2312" w:eastAsia="仿宋_GB2312" w:hAnsi="仿宋_GB2312" w:cs="仿宋_GB2312" w:hint="eastAsia"/>
          <w:sz w:val="32"/>
          <w:szCs w:val="32"/>
        </w:rPr>
        <w:t>，税后财务内部收益率</w:t>
      </w:r>
      <w:r>
        <w:rPr>
          <w:rFonts w:ascii="仿宋_GB2312" w:eastAsia="仿宋_GB2312" w:hAnsi="仿宋_GB2312" w:cs="仿宋_GB2312"/>
          <w:sz w:val="32"/>
          <w:szCs w:val="32"/>
        </w:rPr>
        <w:t>20.98%</w:t>
      </w:r>
      <w:r>
        <w:rPr>
          <w:rFonts w:ascii="仿宋_GB2312" w:eastAsia="仿宋_GB2312" w:hAnsi="仿宋_GB2312" w:cs="仿宋_GB2312" w:hint="eastAsia"/>
          <w:sz w:val="32"/>
          <w:szCs w:val="32"/>
        </w:rPr>
        <w:t>，税后投资回收期</w:t>
      </w:r>
      <w:r>
        <w:rPr>
          <w:rFonts w:ascii="仿宋_GB2312" w:eastAsia="仿宋_GB2312" w:hAnsi="仿宋_GB2312" w:cs="仿宋_GB2312"/>
          <w:sz w:val="32"/>
          <w:szCs w:val="32"/>
        </w:rPr>
        <w:t>(</w:t>
      </w:r>
      <w:r>
        <w:rPr>
          <w:rFonts w:ascii="仿宋_GB2312" w:eastAsia="仿宋_GB2312" w:hAnsi="仿宋_GB2312" w:cs="仿宋_GB2312" w:hint="eastAsia"/>
          <w:sz w:val="32"/>
          <w:szCs w:val="32"/>
        </w:rPr>
        <w:t>含建设期</w:t>
      </w:r>
      <w:r>
        <w:rPr>
          <w:rFonts w:ascii="仿宋_GB2312" w:eastAsia="仿宋_GB2312" w:hAnsi="仿宋_GB2312" w:cs="仿宋_GB2312"/>
          <w:sz w:val="32"/>
          <w:szCs w:val="32"/>
        </w:rPr>
        <w:t>)</w:t>
      </w:r>
      <w:r>
        <w:rPr>
          <w:rFonts w:ascii="仿宋_GB2312" w:eastAsia="仿宋_GB2312" w:hAnsi="仿宋_GB2312" w:cs="仿宋_GB2312" w:hint="eastAsia"/>
          <w:sz w:val="32"/>
          <w:szCs w:val="32"/>
        </w:rPr>
        <w:t>为</w:t>
      </w:r>
      <w:r>
        <w:rPr>
          <w:rFonts w:ascii="仿宋_GB2312" w:eastAsia="仿宋_GB2312" w:hAnsi="仿宋_GB2312" w:cs="仿宋_GB2312"/>
          <w:sz w:val="32"/>
          <w:szCs w:val="32"/>
        </w:rPr>
        <w:t>5.09</w:t>
      </w:r>
      <w:r>
        <w:rPr>
          <w:rFonts w:ascii="仿宋_GB2312" w:eastAsia="仿宋_GB2312" w:hAnsi="仿宋_GB2312" w:cs="仿宋_GB2312" w:hint="eastAsia"/>
          <w:sz w:val="32"/>
          <w:szCs w:val="32"/>
        </w:rPr>
        <w:t>年。</w:t>
      </w:r>
    </w:p>
    <w:p w:rsidR="00163317" w:rsidRDefault="00163317" w:rsidP="00163317">
      <w:pPr>
        <w:spacing w:after="0"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五、建设条件</w:t>
      </w:r>
    </w:p>
    <w:p w:rsidR="00163317" w:rsidRDefault="00163317" w:rsidP="00163317">
      <w:pPr>
        <w:spacing w:after="0"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本项目主要原材料为面粉、蔬菜、瓜果、肉类、油等，这些原辅料均可在当地种植生产或购买，结合农村经济社会的发展情况，根据服务规模化、流通现代化的要求，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践行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“打造产业链健康农产品”的发展理念，以系统为支撑，通过联合与合作，形成重点突出、全面发展、集搭建商品经营、电子商务信息服务平台、资产运作、资本运营于一体的全产业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链运作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模式。</w:t>
      </w:r>
    </w:p>
    <w:p w:rsidR="00163317" w:rsidRDefault="00163317" w:rsidP="00163317">
      <w:pPr>
        <w:spacing w:after="0"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六、项目单位概况</w:t>
      </w:r>
    </w:p>
    <w:p w:rsidR="00163317" w:rsidRDefault="00163317" w:rsidP="00163317">
      <w:pPr>
        <w:spacing w:after="0"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丰宁满族自治县农业农村局</w:t>
      </w:r>
    </w:p>
    <w:p w:rsidR="00163317" w:rsidRDefault="00163317" w:rsidP="00163317">
      <w:pPr>
        <w:spacing w:after="0"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七、合作方式</w:t>
      </w:r>
    </w:p>
    <w:p w:rsidR="00163317" w:rsidRDefault="00163317" w:rsidP="00163317">
      <w:pPr>
        <w:spacing w:after="0"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融资、股份合作</w:t>
      </w:r>
    </w:p>
    <w:p w:rsidR="00163317" w:rsidRDefault="00163317" w:rsidP="00163317">
      <w:pPr>
        <w:spacing w:after="0"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八、联络方式</w:t>
      </w:r>
    </w:p>
    <w:p w:rsidR="00163317" w:rsidRDefault="00163317" w:rsidP="00163317">
      <w:pPr>
        <w:spacing w:after="0"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联系人：刘国石</w:t>
      </w:r>
    </w:p>
    <w:p w:rsidR="00163317" w:rsidRDefault="00163317" w:rsidP="00163317">
      <w:pPr>
        <w:spacing w:after="0"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电话：</w:t>
      </w:r>
      <w:r>
        <w:rPr>
          <w:rFonts w:ascii="仿宋_GB2312" w:eastAsia="仿宋_GB2312" w:hAnsi="仿宋_GB2312" w:cs="仿宋_GB2312"/>
          <w:sz w:val="32"/>
          <w:szCs w:val="32"/>
        </w:rPr>
        <w:t>13931407359</w:t>
      </w:r>
    </w:p>
    <w:p w:rsidR="00163317" w:rsidRDefault="00163317" w:rsidP="00163317">
      <w:pPr>
        <w:spacing w:after="0"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通讯地址：丰宁满族自治县大阁镇振丰路</w:t>
      </w:r>
      <w:r>
        <w:rPr>
          <w:rFonts w:ascii="仿宋_GB2312" w:eastAsia="仿宋_GB2312" w:hAnsi="仿宋_GB2312" w:cs="仿宋_GB2312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号</w:t>
      </w:r>
    </w:p>
    <w:p w:rsidR="00163317" w:rsidRDefault="00163317" w:rsidP="00163317">
      <w:pPr>
        <w:spacing w:after="0"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邮编：</w:t>
      </w:r>
      <w:r>
        <w:rPr>
          <w:rFonts w:ascii="仿宋_GB2312" w:eastAsia="仿宋_GB2312" w:hAnsi="仿宋_GB2312" w:cs="仿宋_GB2312"/>
          <w:sz w:val="32"/>
          <w:szCs w:val="32"/>
        </w:rPr>
        <w:t>068350</w:t>
      </w:r>
    </w:p>
    <w:p w:rsidR="00163317" w:rsidRDefault="00163317" w:rsidP="00163317">
      <w:pPr>
        <w:spacing w:after="0"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电子邮箱：</w:t>
      </w:r>
      <w:r>
        <w:rPr>
          <w:rFonts w:ascii="仿宋_GB2312" w:eastAsia="仿宋_GB2312" w:hAnsi="仿宋_GB2312" w:cs="仿宋_GB2312"/>
          <w:sz w:val="32"/>
          <w:szCs w:val="32"/>
        </w:rPr>
        <w:t>fnnyjxmg@163.com</w:t>
      </w:r>
    </w:p>
    <w:p w:rsidR="00671EA3" w:rsidRPr="00163317" w:rsidRDefault="00671EA3" w:rsidP="00163317">
      <w:pPr>
        <w:widowControl w:val="0"/>
        <w:adjustRightInd/>
        <w:snapToGrid/>
        <w:spacing w:after="0" w:line="560" w:lineRule="exact"/>
        <w:jc w:val="center"/>
        <w:rPr>
          <w:rFonts w:ascii="仿宋_GB2312" w:eastAsia="仿宋_GB2312" w:hAnsi="仿宋_GB2312" w:cs="仿宋_GB2312"/>
          <w:sz w:val="32"/>
          <w:szCs w:val="32"/>
        </w:rPr>
      </w:pPr>
    </w:p>
    <w:sectPr w:rsidR="00671EA3" w:rsidRPr="00163317" w:rsidSect="00F41804">
      <w:pgSz w:w="11906" w:h="16838"/>
      <w:pgMar w:top="1440" w:right="1797" w:bottom="1440" w:left="1797" w:header="708" w:footer="709" w:gutter="0"/>
      <w:cols w:space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3513" w:rsidRDefault="004C3513" w:rsidP="00EC0060">
      <w:pPr>
        <w:spacing w:after="0"/>
      </w:pPr>
      <w:r>
        <w:separator/>
      </w:r>
    </w:p>
  </w:endnote>
  <w:endnote w:type="continuationSeparator" w:id="1">
    <w:p w:rsidR="004C3513" w:rsidRDefault="004C3513" w:rsidP="00EC006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Malgun Gothic Semilight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3513" w:rsidRDefault="004C3513" w:rsidP="00EC0060">
      <w:pPr>
        <w:spacing w:after="0"/>
      </w:pPr>
      <w:r>
        <w:separator/>
      </w:r>
    </w:p>
  </w:footnote>
  <w:footnote w:type="continuationSeparator" w:id="1">
    <w:p w:rsidR="004C3513" w:rsidRDefault="004C3513" w:rsidP="00EC006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003B15"/>
    <w:rsid w:val="0001410F"/>
    <w:rsid w:val="00021BA0"/>
    <w:rsid w:val="00024F98"/>
    <w:rsid w:val="00025237"/>
    <w:rsid w:val="00045D4A"/>
    <w:rsid w:val="00077F78"/>
    <w:rsid w:val="000D6E9C"/>
    <w:rsid w:val="001129CA"/>
    <w:rsid w:val="00137D0E"/>
    <w:rsid w:val="001573E5"/>
    <w:rsid w:val="00163317"/>
    <w:rsid w:val="00175BC7"/>
    <w:rsid w:val="001F5FB9"/>
    <w:rsid w:val="002455C3"/>
    <w:rsid w:val="00251380"/>
    <w:rsid w:val="00253A09"/>
    <w:rsid w:val="00290768"/>
    <w:rsid w:val="00293636"/>
    <w:rsid w:val="002E7613"/>
    <w:rsid w:val="00323B43"/>
    <w:rsid w:val="003A3005"/>
    <w:rsid w:val="003D37D8"/>
    <w:rsid w:val="003E5944"/>
    <w:rsid w:val="00426133"/>
    <w:rsid w:val="00426969"/>
    <w:rsid w:val="004358AB"/>
    <w:rsid w:val="00453D40"/>
    <w:rsid w:val="004C3513"/>
    <w:rsid w:val="004D372C"/>
    <w:rsid w:val="00551FFF"/>
    <w:rsid w:val="00591BB7"/>
    <w:rsid w:val="005A12F3"/>
    <w:rsid w:val="006003C3"/>
    <w:rsid w:val="006305FE"/>
    <w:rsid w:val="00650AA1"/>
    <w:rsid w:val="00671EA3"/>
    <w:rsid w:val="006C52C7"/>
    <w:rsid w:val="006E55FD"/>
    <w:rsid w:val="007279AB"/>
    <w:rsid w:val="00732106"/>
    <w:rsid w:val="00734F99"/>
    <w:rsid w:val="00757F15"/>
    <w:rsid w:val="00766A6B"/>
    <w:rsid w:val="007A4F55"/>
    <w:rsid w:val="007C1E0F"/>
    <w:rsid w:val="007C735F"/>
    <w:rsid w:val="00873D3D"/>
    <w:rsid w:val="00894DDD"/>
    <w:rsid w:val="008B7726"/>
    <w:rsid w:val="0091151E"/>
    <w:rsid w:val="0097503F"/>
    <w:rsid w:val="009A59DA"/>
    <w:rsid w:val="009B63AE"/>
    <w:rsid w:val="00A239D8"/>
    <w:rsid w:val="00AC65C9"/>
    <w:rsid w:val="00B22472"/>
    <w:rsid w:val="00B5433F"/>
    <w:rsid w:val="00B630F0"/>
    <w:rsid w:val="00B6540A"/>
    <w:rsid w:val="00B75429"/>
    <w:rsid w:val="00BD69C0"/>
    <w:rsid w:val="00BE3C79"/>
    <w:rsid w:val="00C33ED6"/>
    <w:rsid w:val="00C53DDC"/>
    <w:rsid w:val="00C74F49"/>
    <w:rsid w:val="00C858F8"/>
    <w:rsid w:val="00CA43D3"/>
    <w:rsid w:val="00D136B4"/>
    <w:rsid w:val="00D31D50"/>
    <w:rsid w:val="00D603EA"/>
    <w:rsid w:val="00D8714D"/>
    <w:rsid w:val="00D94504"/>
    <w:rsid w:val="00DB3F7B"/>
    <w:rsid w:val="00DB7776"/>
    <w:rsid w:val="00E2591E"/>
    <w:rsid w:val="00EC0060"/>
    <w:rsid w:val="00F22776"/>
    <w:rsid w:val="00F41804"/>
    <w:rsid w:val="00FA7AF2"/>
    <w:rsid w:val="0F596CC6"/>
    <w:rsid w:val="1569651F"/>
    <w:rsid w:val="1AED4E83"/>
    <w:rsid w:val="1FE1709E"/>
    <w:rsid w:val="268155F3"/>
    <w:rsid w:val="28A84DB2"/>
    <w:rsid w:val="2BBF0EC6"/>
    <w:rsid w:val="2FA11DB2"/>
    <w:rsid w:val="30AF6BC0"/>
    <w:rsid w:val="35F97876"/>
    <w:rsid w:val="3A287D87"/>
    <w:rsid w:val="42792E03"/>
    <w:rsid w:val="45675246"/>
    <w:rsid w:val="5FA96C61"/>
    <w:rsid w:val="64F364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804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paragraph" w:styleId="2">
    <w:name w:val="heading 2"/>
    <w:basedOn w:val="a"/>
    <w:next w:val="a"/>
    <w:link w:val="2Char"/>
    <w:semiHidden/>
    <w:unhideWhenUsed/>
    <w:qFormat/>
    <w:rsid w:val="00F41804"/>
    <w:pPr>
      <w:keepNext/>
      <w:keepLines/>
      <w:widowControl w:val="0"/>
      <w:adjustRightInd/>
      <w:snapToGrid/>
      <w:spacing w:before="260" w:after="260" w:line="360" w:lineRule="auto"/>
      <w:jc w:val="both"/>
      <w:outlineLvl w:val="1"/>
    </w:pPr>
    <w:rPr>
      <w:rFonts w:ascii="Arial" w:eastAsia="仿宋_GB2312" w:hAnsi="Arial" w:cs="Times New Roman"/>
      <w:b/>
      <w:bCs/>
      <w:kern w:val="2"/>
      <w:sz w:val="4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F41804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F41804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F4180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a6">
    <w:name w:val="Table Grid"/>
    <w:basedOn w:val="a1"/>
    <w:rsid w:val="00F4180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rsid w:val="00F41804"/>
    <w:rPr>
      <w:rFonts w:ascii="Tahoma" w:hAnsi="Tahoma"/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F41804"/>
    <w:rPr>
      <w:rFonts w:ascii="Tahoma" w:hAnsi="Tahoma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F41804"/>
    <w:rPr>
      <w:rFonts w:ascii="Tahoma" w:hAnsi="Tahoma"/>
      <w:sz w:val="18"/>
      <w:szCs w:val="18"/>
    </w:rPr>
  </w:style>
  <w:style w:type="character" w:customStyle="1" w:styleId="2Char">
    <w:name w:val="标题 2 Char"/>
    <w:basedOn w:val="a0"/>
    <w:link w:val="2"/>
    <w:semiHidden/>
    <w:rsid w:val="00F41804"/>
    <w:rPr>
      <w:rFonts w:ascii="Arial" w:eastAsia="仿宋_GB2312" w:hAnsi="Arial" w:cs="Times New Roman"/>
      <w:b/>
      <w:bCs/>
      <w:kern w:val="2"/>
      <w:sz w:val="44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1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26AA999-524C-4D61-AA54-50AF2A8182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117</Words>
  <Characters>667</Characters>
  <Application>Microsoft Office Word</Application>
  <DocSecurity>0</DocSecurity>
  <Lines>5</Lines>
  <Paragraphs>1</Paragraphs>
  <ScaleCrop>false</ScaleCrop>
  <Company>China</Company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26</cp:revision>
  <cp:lastPrinted>2019-12-29T00:15:00Z</cp:lastPrinted>
  <dcterms:created xsi:type="dcterms:W3CDTF">2008-09-11T17:20:00Z</dcterms:created>
  <dcterms:modified xsi:type="dcterms:W3CDTF">2020-05-06T08:47:00Z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