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78B" w:rsidRPr="0005578B" w:rsidRDefault="0005578B" w:rsidP="00B569F9">
      <w:pPr>
        <w:spacing w:afterLines="100"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41</w:t>
      </w:r>
      <w:bookmarkStart w:id="0" w:name="_GoBack"/>
      <w:bookmarkEnd w:id="0"/>
    </w:p>
    <w:p w:rsidR="00B569F9" w:rsidRDefault="00B569F9" w:rsidP="00B569F9">
      <w:pPr>
        <w:adjustRightInd w:val="0"/>
        <w:snapToGrid w:val="0"/>
        <w:spacing w:afterLines="150" w:line="56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利</w:t>
      </w:r>
      <w:proofErr w:type="gramStart"/>
      <w:r>
        <w:rPr>
          <w:rFonts w:ascii="华文中宋" w:eastAsia="华文中宋" w:hAnsi="华文中宋" w:hint="eastAsia"/>
          <w:b/>
          <w:sz w:val="44"/>
          <w:szCs w:val="44"/>
        </w:rPr>
        <w:t>木赞种公牛</w:t>
      </w:r>
      <w:proofErr w:type="gramEnd"/>
      <w:r>
        <w:rPr>
          <w:rFonts w:ascii="华文中宋" w:eastAsia="华文中宋" w:hAnsi="华文中宋" w:hint="eastAsia"/>
          <w:b/>
          <w:sz w:val="44"/>
          <w:szCs w:val="44"/>
        </w:rPr>
        <w:t>站建设项目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一、项目内容和规模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利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木赞种公牛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站建设项目规划用地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 w:hAnsi="宋体" w:hint="eastAsia"/>
          <w:sz w:val="32"/>
          <w:szCs w:val="32"/>
        </w:rPr>
        <w:t>亩，用于利木赞种群的扩繁，建筑面积</w:t>
      </w:r>
      <w:r>
        <w:rPr>
          <w:rFonts w:ascii="仿宋_GB2312" w:eastAsia="仿宋_GB2312" w:hAnsi="宋体"/>
          <w:sz w:val="32"/>
          <w:szCs w:val="32"/>
        </w:rPr>
        <w:t>53400</w:t>
      </w:r>
      <w:r>
        <w:rPr>
          <w:rFonts w:ascii="仿宋_GB2312" w:eastAsia="仿宋_GB2312" w:hAnsi="宋体" w:hint="eastAsia"/>
          <w:sz w:val="32"/>
          <w:szCs w:val="32"/>
        </w:rPr>
        <w:t>平米，其中主功能设施面积</w:t>
      </w:r>
      <w:r>
        <w:rPr>
          <w:rFonts w:ascii="仿宋_GB2312" w:eastAsia="仿宋_GB2312" w:hAnsi="宋体"/>
          <w:sz w:val="32"/>
          <w:szCs w:val="32"/>
        </w:rPr>
        <w:t>42900</w:t>
      </w:r>
      <w:r>
        <w:rPr>
          <w:rFonts w:ascii="仿宋_GB2312" w:eastAsia="仿宋_GB2312" w:hAnsi="宋体" w:hint="eastAsia"/>
          <w:sz w:val="32"/>
          <w:szCs w:val="32"/>
        </w:rPr>
        <w:t>平米、配套设施面积</w:t>
      </w:r>
      <w:r>
        <w:rPr>
          <w:rFonts w:ascii="仿宋_GB2312" w:eastAsia="仿宋_GB2312" w:hAnsi="宋体"/>
          <w:sz w:val="32"/>
          <w:szCs w:val="32"/>
        </w:rPr>
        <w:t>1300</w:t>
      </w:r>
      <w:r>
        <w:rPr>
          <w:rFonts w:ascii="仿宋_GB2312" w:eastAsia="仿宋_GB2312" w:hAnsi="宋体" w:hint="eastAsia"/>
          <w:sz w:val="32"/>
          <w:szCs w:val="32"/>
        </w:rPr>
        <w:t>平米、生化设施面积</w:t>
      </w:r>
      <w:r>
        <w:rPr>
          <w:rFonts w:ascii="仿宋_GB2312" w:eastAsia="仿宋_GB2312" w:hAnsi="宋体"/>
          <w:sz w:val="32"/>
          <w:szCs w:val="32"/>
        </w:rPr>
        <w:t>1100</w:t>
      </w:r>
      <w:r>
        <w:rPr>
          <w:rFonts w:ascii="仿宋_GB2312" w:eastAsia="仿宋_GB2312" w:hAnsi="宋体" w:hint="eastAsia"/>
          <w:sz w:val="32"/>
          <w:szCs w:val="32"/>
        </w:rPr>
        <w:t>平米、基础设施面积</w:t>
      </w:r>
      <w:r>
        <w:rPr>
          <w:rFonts w:ascii="仿宋_GB2312" w:eastAsia="仿宋_GB2312" w:hAnsi="宋体"/>
          <w:sz w:val="32"/>
          <w:szCs w:val="32"/>
        </w:rPr>
        <w:t>8100</w:t>
      </w:r>
      <w:r>
        <w:rPr>
          <w:rFonts w:ascii="仿宋_GB2312" w:eastAsia="仿宋_GB2312" w:hAnsi="宋体" w:hint="eastAsia"/>
          <w:sz w:val="32"/>
          <w:szCs w:val="32"/>
        </w:rPr>
        <w:t>平米，规划前期存栏利木赞纯种公牛</w:t>
      </w: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Ansi="宋体" w:hint="eastAsia"/>
          <w:sz w:val="32"/>
          <w:szCs w:val="32"/>
        </w:rPr>
        <w:t>头，三年内繁育利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木赞种公牛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数量达到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 w:hAnsi="宋体" w:hint="eastAsia"/>
          <w:sz w:val="32"/>
          <w:szCs w:val="32"/>
        </w:rPr>
        <w:t>头。项目建设期预计三年，创造就业岗位</w:t>
      </w:r>
      <w:r>
        <w:rPr>
          <w:rFonts w:ascii="仿宋_GB2312" w:eastAsia="仿宋_GB2312" w:hAnsi="宋体"/>
          <w:sz w:val="32"/>
          <w:szCs w:val="32"/>
        </w:rPr>
        <w:t>50</w:t>
      </w:r>
      <w:r>
        <w:rPr>
          <w:rFonts w:ascii="仿宋_GB2312" w:eastAsia="仿宋_GB2312" w:hAnsi="宋体"/>
          <w:sz w:val="32"/>
          <w:szCs w:val="32"/>
        </w:rPr>
        <w:t>—</w:t>
      </w:r>
      <w:r>
        <w:rPr>
          <w:rFonts w:ascii="仿宋_GB2312" w:eastAsia="仿宋_GB2312" w:hAnsi="宋体"/>
          <w:sz w:val="32"/>
          <w:szCs w:val="32"/>
        </w:rPr>
        <w:t>100</w:t>
      </w:r>
      <w:r>
        <w:rPr>
          <w:rFonts w:ascii="仿宋_GB2312" w:eastAsia="仿宋_GB2312" w:hAnsi="宋体" w:hint="eastAsia"/>
          <w:sz w:val="32"/>
          <w:szCs w:val="32"/>
        </w:rPr>
        <w:t>个，收购大量本地秸秆转饲料。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项目使用先进的设备，包括物联网应用系统、视频监控系统、场区大环境监测系统、棚圈温湿度实时监测系统、疫病实时监测系统、实时体重数据上传系统、氨气实时监测系统、智能锅炉系统、管理</w:t>
      </w:r>
      <w:r>
        <w:rPr>
          <w:rFonts w:ascii="仿宋_GB2312" w:eastAsia="仿宋_GB2312" w:hAnsi="宋体"/>
          <w:sz w:val="32"/>
          <w:szCs w:val="32"/>
        </w:rPr>
        <w:t>ERP</w:t>
      </w:r>
      <w:r>
        <w:rPr>
          <w:rFonts w:ascii="仿宋_GB2312" w:eastAsia="仿宋_GB2312" w:hAnsi="宋体" w:hint="eastAsia"/>
          <w:sz w:val="32"/>
          <w:szCs w:val="32"/>
        </w:rPr>
        <w:t>系统。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二、投资估算及资金来源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项目总投资</w:t>
      </w:r>
      <w:r>
        <w:rPr>
          <w:rFonts w:ascii="仿宋_GB2312" w:eastAsia="仿宋_GB2312" w:hAnsi="宋体"/>
          <w:sz w:val="32"/>
          <w:szCs w:val="32"/>
        </w:rPr>
        <w:t>5000</w:t>
      </w:r>
      <w:r>
        <w:rPr>
          <w:rFonts w:ascii="仿宋_GB2312" w:eastAsia="仿宋_GB2312" w:hAnsi="宋体" w:hint="eastAsia"/>
          <w:sz w:val="32"/>
          <w:szCs w:val="32"/>
        </w:rPr>
        <w:t>万元，其中固定资产总投资</w:t>
      </w:r>
      <w:r>
        <w:rPr>
          <w:rFonts w:ascii="仿宋_GB2312" w:eastAsia="仿宋_GB2312" w:hAnsi="宋体"/>
          <w:sz w:val="32"/>
          <w:szCs w:val="32"/>
        </w:rPr>
        <w:t>45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 w:hAnsi="宋体" w:hint="eastAsia"/>
          <w:sz w:val="32"/>
          <w:szCs w:val="32"/>
        </w:rPr>
        <w:t>万元，项目运行费用（流动资金）</w:t>
      </w:r>
      <w:r>
        <w:rPr>
          <w:rFonts w:ascii="仿宋_GB2312" w:eastAsia="仿宋_GB2312" w:hAnsi="宋体"/>
          <w:sz w:val="32"/>
          <w:szCs w:val="32"/>
        </w:rPr>
        <w:t>500</w:t>
      </w:r>
      <w:r>
        <w:rPr>
          <w:rFonts w:ascii="仿宋_GB2312" w:eastAsia="仿宋_GB2312" w:hAnsi="宋体" w:hint="eastAsia"/>
          <w:sz w:val="32"/>
          <w:szCs w:val="32"/>
        </w:rPr>
        <w:t>万元，主要用于购买饲料、药品及人工费用，企业繁育利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木赞种公牛</w:t>
      </w:r>
      <w:proofErr w:type="gramEnd"/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 w:hAnsi="宋体" w:hint="eastAsia"/>
          <w:sz w:val="32"/>
          <w:szCs w:val="32"/>
        </w:rPr>
        <w:t>头，每头价值约</w:t>
      </w:r>
      <w:r>
        <w:rPr>
          <w:rFonts w:ascii="仿宋_GB2312" w:eastAsia="仿宋_GB2312" w:hAnsi="宋体"/>
          <w:sz w:val="32"/>
          <w:szCs w:val="32"/>
        </w:rPr>
        <w:t>10</w:t>
      </w:r>
      <w:r>
        <w:rPr>
          <w:rFonts w:ascii="仿宋_GB2312" w:eastAsia="仿宋_GB2312" w:hAnsi="宋体" w:hint="eastAsia"/>
          <w:sz w:val="32"/>
          <w:szCs w:val="32"/>
        </w:rPr>
        <w:t>万元，需融资</w:t>
      </w:r>
      <w:r>
        <w:rPr>
          <w:rFonts w:ascii="仿宋_GB2312" w:eastAsia="仿宋_GB2312" w:hAnsi="宋体"/>
          <w:sz w:val="32"/>
          <w:szCs w:val="32"/>
        </w:rPr>
        <w:t>3000</w:t>
      </w:r>
      <w:r>
        <w:rPr>
          <w:rFonts w:ascii="仿宋_GB2312" w:eastAsia="仿宋_GB2312" w:hAnsi="宋体" w:hint="eastAsia"/>
          <w:sz w:val="32"/>
          <w:szCs w:val="32"/>
        </w:rPr>
        <w:t>万元。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三、市场前景分析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随着经济社会的发展和人们生活水平的提高，肉奶蛋等畜产品的消费正在逐年增加，牛奶和牛肉等草食畜产品需求量呈较大幅度增长。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优质牛肉在国内和国际上都有较好的市场潜力，我国每年需从国外进口</w:t>
      </w:r>
      <w:r>
        <w:rPr>
          <w:rFonts w:ascii="仿宋_GB2312" w:eastAsia="仿宋_GB2312" w:hAnsi="宋体"/>
          <w:sz w:val="32"/>
          <w:szCs w:val="32"/>
        </w:rPr>
        <w:t>3.5</w:t>
      </w:r>
      <w:r>
        <w:rPr>
          <w:rFonts w:ascii="仿宋_GB2312" w:eastAsia="仿宋_GB2312" w:hAnsi="宋体" w:hint="eastAsia"/>
          <w:sz w:val="32"/>
          <w:szCs w:val="32"/>
        </w:rPr>
        <w:t>万</w:t>
      </w:r>
      <w:r>
        <w:rPr>
          <w:rFonts w:ascii="仿宋_GB2312" w:eastAsia="仿宋_GB2312" w:hAnsi="宋体"/>
          <w:sz w:val="32"/>
          <w:szCs w:val="32"/>
        </w:rPr>
        <w:t>t</w:t>
      </w:r>
      <w:r>
        <w:rPr>
          <w:rFonts w:ascii="仿宋_GB2312" w:eastAsia="仿宋_GB2312" w:hAnsi="宋体" w:hint="eastAsia"/>
          <w:sz w:val="32"/>
          <w:szCs w:val="32"/>
        </w:rPr>
        <w:t>，美国每年需进口</w:t>
      </w:r>
      <w:r>
        <w:rPr>
          <w:rFonts w:ascii="仿宋_GB2312" w:eastAsia="仿宋_GB2312" w:hAnsi="宋体"/>
          <w:sz w:val="32"/>
          <w:szCs w:val="32"/>
        </w:rPr>
        <w:t>80</w:t>
      </w:r>
      <w:r>
        <w:rPr>
          <w:rFonts w:ascii="仿宋_GB2312" w:eastAsia="仿宋_GB2312" w:hAnsi="宋体" w:hint="eastAsia"/>
          <w:sz w:val="32"/>
          <w:szCs w:val="32"/>
        </w:rPr>
        <w:t>万</w:t>
      </w:r>
      <w:r>
        <w:rPr>
          <w:rFonts w:ascii="仿宋_GB2312" w:eastAsia="仿宋_GB2312" w:hAnsi="宋体"/>
          <w:sz w:val="32"/>
          <w:szCs w:val="32"/>
        </w:rPr>
        <w:t>t</w:t>
      </w:r>
      <w:r>
        <w:rPr>
          <w:rFonts w:ascii="仿宋_GB2312" w:eastAsia="仿宋_GB2312" w:hAnsi="宋体" w:hint="eastAsia"/>
          <w:sz w:val="32"/>
          <w:szCs w:val="32"/>
        </w:rPr>
        <w:t>左右牛肉，在国际市场上，优质牛肉的需求量很大，因而价位一直较高。丰宁县气候适宜</w:t>
      </w:r>
      <w:r>
        <w:rPr>
          <w:rFonts w:ascii="仿宋_GB2312" w:eastAsia="仿宋_GB2312"/>
          <w:sz w:val="32"/>
          <w:szCs w:val="32"/>
        </w:rPr>
        <w:t>,</w:t>
      </w:r>
      <w:r>
        <w:rPr>
          <w:rFonts w:ascii="仿宋_GB2312" w:eastAsia="仿宋_GB2312" w:hAnsi="宋体" w:hint="eastAsia"/>
          <w:sz w:val="32"/>
          <w:szCs w:val="32"/>
        </w:rPr>
        <w:t>是林牧业区和粮食主产区，是全国玉米商品粮基地，非常适合养殖肉牛。综上所述，本项目的建设通过引进优秀利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木赞种公牛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品种，对本地牛进行改良，开发高档肉牛生产市场空间巨大，前景十分可观。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四、经济效益分析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项目总投资额为</w:t>
      </w:r>
      <w:r>
        <w:rPr>
          <w:rFonts w:ascii="仿宋_GB2312" w:eastAsia="仿宋_GB2312" w:hAnsi="宋体"/>
          <w:sz w:val="32"/>
          <w:szCs w:val="32"/>
        </w:rPr>
        <w:t>5000</w:t>
      </w:r>
      <w:r>
        <w:rPr>
          <w:rFonts w:ascii="仿宋_GB2312" w:eastAsia="仿宋_GB2312" w:hAnsi="宋体" w:hint="eastAsia"/>
          <w:sz w:val="32"/>
          <w:szCs w:val="32"/>
        </w:rPr>
        <w:t>万元，每年净利润收入为总投资额的</w:t>
      </w:r>
      <w:r>
        <w:rPr>
          <w:rFonts w:ascii="仿宋_GB2312" w:eastAsia="仿宋_GB2312" w:hAnsi="宋体"/>
          <w:sz w:val="32"/>
          <w:szCs w:val="32"/>
        </w:rPr>
        <w:t>33.34%</w:t>
      </w:r>
      <w:r>
        <w:rPr>
          <w:rFonts w:ascii="仿宋_GB2312" w:eastAsia="仿宋_GB2312" w:hAnsi="宋体" w:hint="eastAsia"/>
          <w:sz w:val="32"/>
          <w:szCs w:val="32"/>
        </w:rPr>
        <w:t>，净现值</w:t>
      </w:r>
      <w:r>
        <w:rPr>
          <w:rFonts w:ascii="仿宋_GB2312" w:eastAsia="仿宋_GB2312" w:hAnsi="宋体"/>
          <w:sz w:val="32"/>
          <w:szCs w:val="32"/>
        </w:rPr>
        <w:t>1667</w:t>
      </w:r>
      <w:r>
        <w:rPr>
          <w:rFonts w:ascii="仿宋_GB2312" w:eastAsia="仿宋_GB2312" w:hAnsi="宋体" w:hint="eastAsia"/>
          <w:sz w:val="32"/>
          <w:szCs w:val="32"/>
        </w:rPr>
        <w:t>万元，项目投资税前毛收益率</w:t>
      </w:r>
      <w:r>
        <w:rPr>
          <w:rFonts w:ascii="仿宋_GB2312" w:eastAsia="仿宋_GB2312" w:hAnsi="宋体"/>
          <w:sz w:val="32"/>
          <w:szCs w:val="32"/>
        </w:rPr>
        <w:t>33%</w:t>
      </w:r>
      <w:r>
        <w:rPr>
          <w:rFonts w:ascii="仿宋_GB2312" w:eastAsia="仿宋_GB2312" w:hAnsi="宋体" w:hint="eastAsia"/>
          <w:sz w:val="32"/>
          <w:szCs w:val="32"/>
        </w:rPr>
        <w:t>，税后投资回收期</w:t>
      </w: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含建设期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，项目达产后可实现年产</w:t>
      </w:r>
      <w:r>
        <w:rPr>
          <w:rFonts w:ascii="仿宋_GB2312" w:eastAsia="仿宋_GB2312" w:hAnsi="宋体"/>
          <w:sz w:val="32"/>
          <w:szCs w:val="32"/>
        </w:rPr>
        <w:t>100</w:t>
      </w:r>
      <w:r>
        <w:rPr>
          <w:rFonts w:ascii="仿宋_GB2312" w:eastAsia="仿宋_GB2312" w:hAnsi="宋体" w:hint="eastAsia"/>
          <w:sz w:val="32"/>
          <w:szCs w:val="32"/>
        </w:rPr>
        <w:t>万支高标准利木赞冻精，年产值可达</w:t>
      </w:r>
      <w:r>
        <w:rPr>
          <w:rFonts w:ascii="仿宋_GB2312" w:eastAsia="仿宋_GB2312" w:hAnsi="宋体"/>
          <w:sz w:val="32"/>
          <w:szCs w:val="32"/>
        </w:rPr>
        <w:t>5000</w:t>
      </w:r>
      <w:r>
        <w:rPr>
          <w:rFonts w:ascii="仿宋_GB2312" w:eastAsia="仿宋_GB2312" w:hAnsi="宋体" w:hint="eastAsia"/>
          <w:sz w:val="32"/>
          <w:szCs w:val="32"/>
        </w:rPr>
        <w:t>万元以上。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五、建设条件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宋体"/>
          <w:sz w:val="28"/>
          <w:szCs w:val="28"/>
        </w:rPr>
      </w:pPr>
      <w:r>
        <w:rPr>
          <w:rFonts w:ascii="仿宋_GB2312" w:eastAsia="仿宋_GB2312" w:hAnsi="宋体" w:hint="eastAsia"/>
          <w:sz w:val="32"/>
          <w:szCs w:val="32"/>
        </w:rPr>
        <w:t>项目建设地点具备水电气路等配套条件</w:t>
      </w:r>
      <w:r>
        <w:rPr>
          <w:rFonts w:ascii="宋体" w:hAnsi="宋体" w:hint="eastAsia"/>
          <w:sz w:val="28"/>
          <w:szCs w:val="28"/>
        </w:rPr>
        <w:t>。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六、项目建设单位概况</w:t>
      </w:r>
    </w:p>
    <w:p w:rsidR="00B569F9" w:rsidRDefault="00B569F9" w:rsidP="00B569F9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正蓝旗杰林畜牧科技有限责任公司为项目建设单位，公司位于锡林郭勒盟正蓝旗，成立于</w:t>
      </w:r>
      <w:r>
        <w:rPr>
          <w:rFonts w:ascii="仿宋_GB2312" w:eastAsia="仿宋_GB2312" w:hAnsi="宋体"/>
          <w:sz w:val="32"/>
          <w:szCs w:val="32"/>
        </w:rPr>
        <w:t>2013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月，公司属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民营合资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企业</w:t>
      </w:r>
      <w:r>
        <w:rPr>
          <w:rFonts w:ascii="仿宋_GB2312" w:eastAsia="仿宋_GB2312" w:hAnsi="宋体"/>
          <w:sz w:val="32"/>
          <w:szCs w:val="32"/>
        </w:rPr>
        <w:t>,</w:t>
      </w:r>
      <w:r>
        <w:rPr>
          <w:rFonts w:ascii="仿宋_GB2312" w:eastAsia="仿宋_GB2312" w:hAnsi="宋体" w:hint="eastAsia"/>
          <w:sz w:val="32"/>
          <w:szCs w:val="32"/>
        </w:rPr>
        <w:t>注册资本</w:t>
      </w:r>
      <w:r>
        <w:rPr>
          <w:rFonts w:ascii="仿宋_GB2312" w:eastAsia="仿宋_GB2312" w:hAnsi="宋体"/>
          <w:sz w:val="32"/>
          <w:szCs w:val="32"/>
        </w:rPr>
        <w:t>500</w:t>
      </w:r>
      <w:r>
        <w:rPr>
          <w:rFonts w:ascii="仿宋_GB2312" w:eastAsia="仿宋_GB2312" w:hAnsi="宋体" w:hint="eastAsia"/>
          <w:sz w:val="32"/>
          <w:szCs w:val="32"/>
        </w:rPr>
        <w:t>万元，目前固定资产投入</w:t>
      </w:r>
      <w:r>
        <w:rPr>
          <w:rFonts w:ascii="仿宋_GB2312" w:eastAsia="仿宋_GB2312" w:hAnsi="宋体"/>
          <w:sz w:val="32"/>
          <w:szCs w:val="32"/>
        </w:rPr>
        <w:t>6000</w:t>
      </w:r>
      <w:r>
        <w:rPr>
          <w:rFonts w:ascii="仿宋_GB2312" w:eastAsia="仿宋_GB2312" w:hAnsi="宋体" w:hint="eastAsia"/>
          <w:sz w:val="32"/>
          <w:szCs w:val="32"/>
        </w:rPr>
        <w:t>万，拥有草场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万亩，饲料种植基地</w:t>
      </w:r>
      <w:r>
        <w:rPr>
          <w:rFonts w:ascii="仿宋_GB2312" w:eastAsia="仿宋_GB2312" w:hAnsi="宋体"/>
          <w:sz w:val="32"/>
          <w:szCs w:val="32"/>
        </w:rPr>
        <w:t>4000</w:t>
      </w:r>
      <w:r>
        <w:rPr>
          <w:rFonts w:ascii="仿宋_GB2312" w:eastAsia="仿宋_GB2312" w:hAnsi="宋体" w:hint="eastAsia"/>
          <w:sz w:val="32"/>
          <w:szCs w:val="32"/>
        </w:rPr>
        <w:t>亩，天然草场免耕补播节水灌溉示范项目</w:t>
      </w:r>
      <w:r>
        <w:rPr>
          <w:rFonts w:ascii="仿宋_GB2312" w:eastAsia="仿宋_GB2312" w:hAnsi="宋体"/>
          <w:sz w:val="32"/>
          <w:szCs w:val="32"/>
        </w:rPr>
        <w:t>4000</w:t>
      </w:r>
      <w:r>
        <w:rPr>
          <w:rFonts w:ascii="仿宋_GB2312" w:eastAsia="仿宋_GB2312" w:hAnsi="宋体" w:hint="eastAsia"/>
          <w:sz w:val="32"/>
          <w:szCs w:val="32"/>
        </w:rPr>
        <w:t>亩</w:t>
      </w:r>
      <w:r>
        <w:rPr>
          <w:rFonts w:ascii="仿宋_GB2312" w:eastAsia="仿宋_GB2312" w:hAnsi="宋体"/>
          <w:sz w:val="32"/>
          <w:szCs w:val="32"/>
        </w:rPr>
        <w:t xml:space="preserve">, </w:t>
      </w:r>
      <w:r>
        <w:rPr>
          <w:rFonts w:ascii="仿宋_GB2312" w:eastAsia="仿宋_GB2312" w:hAnsi="宋体" w:hint="eastAsia"/>
          <w:sz w:val="32"/>
          <w:szCs w:val="32"/>
        </w:rPr>
        <w:t>高标准牛舍</w:t>
      </w:r>
      <w:r>
        <w:rPr>
          <w:rFonts w:ascii="仿宋_GB2312" w:eastAsia="仿宋_GB2312" w:hAnsi="宋体"/>
          <w:sz w:val="32"/>
          <w:szCs w:val="32"/>
        </w:rPr>
        <w:t>9344</w:t>
      </w:r>
      <w:r>
        <w:rPr>
          <w:rFonts w:ascii="仿宋_GB2312" w:eastAsia="仿宋_GB2312" w:hAnsi="宋体" w:hint="eastAsia"/>
          <w:sz w:val="32"/>
          <w:szCs w:val="32"/>
        </w:rPr>
        <w:t>㎡，改造牛舍</w:t>
      </w:r>
      <w:r>
        <w:rPr>
          <w:rFonts w:ascii="仿宋_GB2312" w:eastAsia="仿宋_GB2312" w:hAnsi="宋体"/>
          <w:sz w:val="32"/>
          <w:szCs w:val="32"/>
        </w:rPr>
        <w:t>1550</w:t>
      </w:r>
      <w:r>
        <w:rPr>
          <w:rFonts w:ascii="仿宋_GB2312" w:eastAsia="仿宋_GB2312" w:hAnsi="宋体" w:hint="eastAsia"/>
          <w:sz w:val="32"/>
          <w:szCs w:val="32"/>
        </w:rPr>
        <w:t>㎡；目前存栏牛数</w:t>
      </w:r>
      <w:r>
        <w:rPr>
          <w:rFonts w:ascii="仿宋_GB2312" w:eastAsia="仿宋_GB2312" w:hAnsi="宋体"/>
          <w:sz w:val="32"/>
          <w:szCs w:val="32"/>
        </w:rPr>
        <w:t>1115</w:t>
      </w:r>
      <w:r>
        <w:rPr>
          <w:rFonts w:ascii="仿宋_GB2312" w:eastAsia="仿宋_GB2312" w:hAnsi="宋体" w:hint="eastAsia"/>
          <w:sz w:val="32"/>
          <w:szCs w:val="32"/>
        </w:rPr>
        <w:t>头，其中利木赞纯种牛</w:t>
      </w:r>
      <w:r>
        <w:rPr>
          <w:rFonts w:ascii="仿宋_GB2312" w:eastAsia="仿宋_GB2312" w:hAnsi="宋体"/>
          <w:sz w:val="32"/>
          <w:szCs w:val="32"/>
        </w:rPr>
        <w:t>162</w:t>
      </w:r>
      <w:r>
        <w:rPr>
          <w:rFonts w:ascii="仿宋_GB2312" w:eastAsia="仿宋_GB2312" w:hAnsi="宋体" w:hint="eastAsia"/>
          <w:sz w:val="32"/>
          <w:szCs w:val="32"/>
        </w:rPr>
        <w:t>头，回收犊牛</w:t>
      </w:r>
      <w:r>
        <w:rPr>
          <w:rFonts w:ascii="仿宋_GB2312" w:eastAsia="仿宋_GB2312" w:hAnsi="宋体"/>
          <w:sz w:val="32"/>
          <w:szCs w:val="32"/>
        </w:rPr>
        <w:t>1144</w:t>
      </w:r>
      <w:r>
        <w:rPr>
          <w:rFonts w:ascii="仿宋_GB2312" w:eastAsia="仿宋_GB2312" w:hAnsi="宋体" w:hint="eastAsia"/>
          <w:sz w:val="32"/>
          <w:szCs w:val="32"/>
        </w:rPr>
        <w:t>头，自繁母牛</w:t>
      </w:r>
      <w:r>
        <w:rPr>
          <w:rFonts w:ascii="仿宋_GB2312" w:eastAsia="仿宋_GB2312" w:hAnsi="宋体"/>
          <w:sz w:val="32"/>
          <w:szCs w:val="32"/>
        </w:rPr>
        <w:t>300</w:t>
      </w:r>
      <w:r>
        <w:rPr>
          <w:rFonts w:ascii="仿宋_GB2312" w:eastAsia="仿宋_GB2312" w:hAnsi="宋体" w:hint="eastAsia"/>
          <w:sz w:val="32"/>
          <w:szCs w:val="32"/>
        </w:rPr>
        <w:t>余头，繁育总数超过</w:t>
      </w:r>
      <w:r>
        <w:rPr>
          <w:rFonts w:ascii="仿宋_GB2312" w:eastAsia="仿宋_GB2312" w:hAnsi="宋体"/>
          <w:sz w:val="32"/>
          <w:szCs w:val="32"/>
        </w:rPr>
        <w:t>3000</w:t>
      </w:r>
      <w:r>
        <w:rPr>
          <w:rFonts w:ascii="仿宋_GB2312" w:eastAsia="仿宋_GB2312" w:hAnsi="宋体" w:hint="eastAsia"/>
          <w:sz w:val="32"/>
          <w:szCs w:val="32"/>
        </w:rPr>
        <w:t>头。公司采取“企业</w:t>
      </w:r>
      <w:r>
        <w:rPr>
          <w:rFonts w:ascii="仿宋_GB2312" w:eastAsia="仿宋_GB2312" w:hAnsi="宋体"/>
          <w:sz w:val="32"/>
          <w:szCs w:val="32"/>
        </w:rPr>
        <w:t>+</w:t>
      </w:r>
      <w:r>
        <w:rPr>
          <w:rFonts w:ascii="仿宋_GB2312" w:eastAsia="仿宋_GB2312" w:hAnsi="宋体" w:hint="eastAsia"/>
          <w:sz w:val="32"/>
          <w:szCs w:val="32"/>
        </w:rPr>
        <w:t>牧户”的模式，免费为牧户提供人工配种、饲养技术等服务，同时公司以高于市场价</w:t>
      </w:r>
      <w:r>
        <w:rPr>
          <w:rFonts w:ascii="仿宋_GB2312" w:eastAsia="仿宋_GB2312" w:hAnsi="宋体"/>
          <w:sz w:val="32"/>
          <w:szCs w:val="32"/>
        </w:rPr>
        <w:t>10%</w:t>
      </w:r>
      <w:r>
        <w:rPr>
          <w:rFonts w:ascii="仿宋_GB2312" w:eastAsia="仿宋_GB2312" w:hAnsi="宋体" w:hint="eastAsia"/>
          <w:sz w:val="32"/>
          <w:szCs w:val="32"/>
        </w:rPr>
        <w:t>的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价格回收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牧户利木赞杂一代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犊牛。</w:t>
      </w:r>
    </w:p>
    <w:p w:rsidR="00B569F9" w:rsidRDefault="00B569F9" w:rsidP="00B569F9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自</w:t>
      </w:r>
      <w:r>
        <w:rPr>
          <w:rFonts w:ascii="仿宋_GB2312" w:eastAsia="仿宋_GB2312" w:hAnsi="宋体"/>
          <w:sz w:val="32"/>
          <w:szCs w:val="32"/>
        </w:rPr>
        <w:t>2015</w:t>
      </w:r>
      <w:r>
        <w:rPr>
          <w:rFonts w:ascii="仿宋_GB2312" w:eastAsia="仿宋_GB2312" w:hAnsi="宋体" w:hint="eastAsia"/>
          <w:sz w:val="32"/>
          <w:szCs w:val="32"/>
        </w:rPr>
        <w:t>年公司与丰宁县农牧局合作，由公司免费向丰宁县提供优质利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木赞牛精液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，项目布局全产业链，涉及环节众多，能够创造大量的就业岗位。同时，项目涉及的相关产业庞大，包括相关的加工业、配套服务业等等，各产业相互促进，共同发展，形成良性循环，具有很强的拉动力，同时能够为当地提供就业机会，缓解当地就业压力。此外，国家创新“就业扶贫”新模式，项目的开展可帮助贫困户实现稳定就业，增加贫困家庭劳务性收入。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七、合作方式</w:t>
      </w:r>
    </w:p>
    <w:p w:rsidR="00B569F9" w:rsidRDefault="00B569F9" w:rsidP="00B569F9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企业自筹资金</w:t>
      </w:r>
      <w:r>
        <w:rPr>
          <w:rFonts w:ascii="仿宋_GB2312" w:eastAsia="仿宋_GB2312" w:hAnsi="宋体"/>
          <w:sz w:val="32"/>
          <w:szCs w:val="32"/>
        </w:rPr>
        <w:t>2000</w:t>
      </w:r>
      <w:r>
        <w:rPr>
          <w:rFonts w:ascii="仿宋_GB2312" w:eastAsia="仿宋_GB2312" w:hAnsi="宋体" w:hint="eastAsia"/>
          <w:sz w:val="32"/>
          <w:szCs w:val="32"/>
        </w:rPr>
        <w:t>万元，融资</w:t>
      </w:r>
      <w:r>
        <w:rPr>
          <w:rFonts w:ascii="仿宋_GB2312" w:eastAsia="仿宋_GB2312" w:hAnsi="宋体"/>
          <w:sz w:val="32"/>
          <w:szCs w:val="32"/>
        </w:rPr>
        <w:t>3000</w:t>
      </w:r>
      <w:r>
        <w:rPr>
          <w:rFonts w:ascii="仿宋_GB2312" w:eastAsia="仿宋_GB2312" w:hAnsi="宋体" w:hint="eastAsia"/>
          <w:sz w:val="32"/>
          <w:szCs w:val="32"/>
        </w:rPr>
        <w:t>万元。</w:t>
      </w:r>
    </w:p>
    <w:p w:rsidR="00B569F9" w:rsidRDefault="00B569F9" w:rsidP="00B569F9">
      <w:pPr>
        <w:pStyle w:val="a5"/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八、联络方式</w:t>
      </w:r>
    </w:p>
    <w:p w:rsidR="00B569F9" w:rsidRDefault="00B569F9" w:rsidP="00B569F9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项目负责人：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温广庆</w:t>
      </w:r>
      <w:proofErr w:type="gramEnd"/>
    </w:p>
    <w:p w:rsidR="00B569F9" w:rsidRDefault="00B569F9" w:rsidP="00B569F9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电话：</w:t>
      </w:r>
      <w:r>
        <w:rPr>
          <w:rFonts w:ascii="仿宋_GB2312" w:eastAsia="仿宋_GB2312" w:hAnsi="宋体"/>
          <w:sz w:val="32"/>
          <w:szCs w:val="32"/>
        </w:rPr>
        <w:t>18947994166</w:t>
      </w:r>
    </w:p>
    <w:p w:rsidR="00B569F9" w:rsidRDefault="00B569F9" w:rsidP="00B569F9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联系单位：正蓝旗杰林畜牧科技有限责任公司</w:t>
      </w:r>
    </w:p>
    <w:p w:rsidR="00B569F9" w:rsidRDefault="00B569F9" w:rsidP="00B569F9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通讯地址：内蒙古锡盟正蓝旗民政局</w:t>
      </w:r>
      <w:r>
        <w:rPr>
          <w:rFonts w:ascii="仿宋_GB2312" w:eastAsia="仿宋_GB2312" w:hAnsi="宋体"/>
          <w:sz w:val="32"/>
          <w:szCs w:val="32"/>
        </w:rPr>
        <w:t>4007</w:t>
      </w:r>
    </w:p>
    <w:p w:rsidR="00B569F9" w:rsidRDefault="00B569F9" w:rsidP="00B569F9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邮箱：</w:t>
      </w:r>
      <w:r>
        <w:rPr>
          <w:rFonts w:ascii="仿宋_GB2312" w:eastAsia="仿宋_GB2312" w:hAnsi="宋体"/>
          <w:sz w:val="32"/>
          <w:szCs w:val="32"/>
        </w:rPr>
        <w:t>zlqjlgs@126.com</w:t>
      </w:r>
    </w:p>
    <w:p w:rsidR="00F2744C" w:rsidRPr="00F116A5" w:rsidRDefault="00F2744C" w:rsidP="00B569F9">
      <w:pPr>
        <w:adjustRightInd w:val="0"/>
        <w:snapToGrid w:val="0"/>
        <w:spacing w:beforeLines="200" w:afterLines="100"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F2744C" w:rsidRPr="00F116A5" w:rsidSect="00280F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057" w:rsidRDefault="004C2057" w:rsidP="00F00B93">
      <w:r>
        <w:separator/>
      </w:r>
    </w:p>
  </w:endnote>
  <w:endnote w:type="continuationSeparator" w:id="1">
    <w:p w:rsidR="004C2057" w:rsidRDefault="004C2057" w:rsidP="00F00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057" w:rsidRDefault="004C2057" w:rsidP="00F00B93">
      <w:r>
        <w:separator/>
      </w:r>
    </w:p>
  </w:footnote>
  <w:footnote w:type="continuationSeparator" w:id="1">
    <w:p w:rsidR="004C2057" w:rsidRDefault="004C2057" w:rsidP="00F00B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0B93"/>
    <w:rsid w:val="0001690B"/>
    <w:rsid w:val="0005578B"/>
    <w:rsid w:val="00056473"/>
    <w:rsid w:val="0007571F"/>
    <w:rsid w:val="000C6456"/>
    <w:rsid w:val="000D5358"/>
    <w:rsid w:val="000F2596"/>
    <w:rsid w:val="00201801"/>
    <w:rsid w:val="00225F63"/>
    <w:rsid w:val="00246185"/>
    <w:rsid w:val="00280F5B"/>
    <w:rsid w:val="002A20A0"/>
    <w:rsid w:val="002C1620"/>
    <w:rsid w:val="003039D8"/>
    <w:rsid w:val="003C6C40"/>
    <w:rsid w:val="004362BE"/>
    <w:rsid w:val="004467D9"/>
    <w:rsid w:val="0046546A"/>
    <w:rsid w:val="004C2057"/>
    <w:rsid w:val="00567263"/>
    <w:rsid w:val="00581D03"/>
    <w:rsid w:val="005D3732"/>
    <w:rsid w:val="00606EF3"/>
    <w:rsid w:val="006551DE"/>
    <w:rsid w:val="006D12CE"/>
    <w:rsid w:val="00702EEF"/>
    <w:rsid w:val="007275F7"/>
    <w:rsid w:val="00782512"/>
    <w:rsid w:val="00790378"/>
    <w:rsid w:val="00842640"/>
    <w:rsid w:val="008C1CC6"/>
    <w:rsid w:val="009473F0"/>
    <w:rsid w:val="009D06B6"/>
    <w:rsid w:val="009F0AB7"/>
    <w:rsid w:val="00A747F2"/>
    <w:rsid w:val="00AD5211"/>
    <w:rsid w:val="00AD5AFB"/>
    <w:rsid w:val="00AF0E2C"/>
    <w:rsid w:val="00B569F9"/>
    <w:rsid w:val="00C526A1"/>
    <w:rsid w:val="00CB7913"/>
    <w:rsid w:val="00CE08BC"/>
    <w:rsid w:val="00D67CD7"/>
    <w:rsid w:val="00D96E78"/>
    <w:rsid w:val="00DA0E88"/>
    <w:rsid w:val="00DF4A8B"/>
    <w:rsid w:val="00E30064"/>
    <w:rsid w:val="00E30786"/>
    <w:rsid w:val="00E84538"/>
    <w:rsid w:val="00EE1AD6"/>
    <w:rsid w:val="00F00B93"/>
    <w:rsid w:val="00F113CE"/>
    <w:rsid w:val="00F116A5"/>
    <w:rsid w:val="00F22AB6"/>
    <w:rsid w:val="00F27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5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0B9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0B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0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0B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0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0B9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00B9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00B93"/>
    <w:rPr>
      <w:b/>
      <w:bCs/>
      <w:kern w:val="44"/>
      <w:sz w:val="44"/>
      <w:szCs w:val="44"/>
    </w:rPr>
  </w:style>
  <w:style w:type="paragraph" w:styleId="a5">
    <w:name w:val="No Spacing"/>
    <w:uiPriority w:val="99"/>
    <w:qFormat/>
    <w:rsid w:val="00F00B93"/>
    <w:pPr>
      <w:widowControl w:val="0"/>
      <w:jc w:val="both"/>
    </w:pPr>
  </w:style>
  <w:style w:type="paragraph" w:styleId="a6">
    <w:name w:val="Normal (Web)"/>
    <w:basedOn w:val="a"/>
    <w:unhideWhenUsed/>
    <w:rsid w:val="003C6C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CharCharChar">
    <w:name w:val="Char Char Char Char Char Char Char"/>
    <w:basedOn w:val="a"/>
    <w:rsid w:val="00E30064"/>
    <w:rPr>
      <w:rFonts w:ascii="Times New Roman" w:eastAsia="宋体" w:hAnsi="Times New Roman" w:cs="Times New Roman"/>
      <w:szCs w:val="24"/>
    </w:rPr>
  </w:style>
  <w:style w:type="paragraph" w:customStyle="1" w:styleId="10">
    <w:name w:val="标题1"/>
    <w:basedOn w:val="a"/>
    <w:rsid w:val="00C526A1"/>
    <w:pPr>
      <w:spacing w:beforeLines="100"/>
      <w:jc w:val="center"/>
    </w:pPr>
    <w:rPr>
      <w:rFonts w:ascii="黑体" w:eastAsia="黑体" w:hAnsi="Times New Roman" w:cs="Times New Roman"/>
      <w:b/>
      <w:bCs/>
      <w:sz w:val="44"/>
      <w:szCs w:val="24"/>
    </w:rPr>
  </w:style>
  <w:style w:type="paragraph" w:styleId="a7">
    <w:name w:val="List Paragraph"/>
    <w:basedOn w:val="a"/>
    <w:uiPriority w:val="34"/>
    <w:qFormat/>
    <w:rsid w:val="00DF4A8B"/>
    <w:pPr>
      <w:ind w:firstLineChars="200" w:firstLine="420"/>
    </w:pPr>
    <w:rPr>
      <w:rFonts w:ascii="Calibri" w:eastAsia="宋体" w:hAnsi="Calibri" w:cs="Times New Roman" w:hint="eastAsia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温广庆</dc:creator>
  <cp:keywords/>
  <dc:description/>
  <cp:lastModifiedBy>lenovo</cp:lastModifiedBy>
  <cp:revision>39</cp:revision>
  <dcterms:created xsi:type="dcterms:W3CDTF">2020-04-21T12:33:00Z</dcterms:created>
  <dcterms:modified xsi:type="dcterms:W3CDTF">2020-05-06T08:43:00Z</dcterms:modified>
</cp:coreProperties>
</file>